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DFACD" w14:textId="0E2ADCBE" w:rsidR="001C25E8" w:rsidRDefault="001C25E8" w:rsidP="001C25E8">
      <w:pPr>
        <w:pStyle w:val="Title"/>
        <w:rPr>
          <w:bCs/>
          <w:lang w:val="en-GB"/>
        </w:rPr>
      </w:pPr>
      <w:r w:rsidRPr="002D68C3">
        <w:rPr>
          <w:bCs/>
          <w:lang w:val="en-GB"/>
        </w:rPr>
        <w:t>Department of Jobs, Precincts and Regions</w:t>
      </w:r>
    </w:p>
    <w:p w14:paraId="7DDB5745" w14:textId="77777777" w:rsidR="001C25E8" w:rsidRDefault="001C25E8" w:rsidP="001C25E8">
      <w:pPr>
        <w:pStyle w:val="Title"/>
        <w:rPr>
          <w:bCs/>
          <w:lang w:val="en-GB"/>
        </w:rPr>
      </w:pPr>
      <w:r w:rsidRPr="002D68C3">
        <w:rPr>
          <w:bCs/>
          <w:lang w:val="en-GB"/>
        </w:rPr>
        <w:t>Annual Report</w:t>
      </w:r>
      <w:r>
        <w:rPr>
          <w:bCs/>
          <w:lang w:val="en-GB"/>
        </w:rPr>
        <w:t xml:space="preserve"> </w:t>
      </w:r>
      <w:r w:rsidRPr="002D68C3">
        <w:rPr>
          <w:bCs/>
          <w:lang w:val="en-GB"/>
        </w:rPr>
        <w:t>2020-2021</w:t>
      </w:r>
    </w:p>
    <w:p w14:paraId="0ED49D35" w14:textId="0C0FBA8F" w:rsidR="0088390A" w:rsidRPr="0088390A" w:rsidRDefault="0088390A" w:rsidP="0088390A">
      <w:pPr>
        <w:pStyle w:val="Heading1"/>
        <w:rPr>
          <w:lang w:val="en-GB"/>
        </w:rPr>
      </w:pPr>
      <w:r>
        <w:rPr>
          <w:lang w:val="en-GB"/>
        </w:rPr>
        <w:t>Non-financial performance</w:t>
      </w:r>
    </w:p>
    <w:sdt>
      <w:sdtPr>
        <w:rPr>
          <w:rFonts w:ascii="Arial" w:eastAsia="MS Mincho" w:hAnsi="Arial" w:cs="Arial"/>
          <w:b w:val="0"/>
          <w:bCs w:val="0"/>
          <w:color w:val="auto"/>
          <w:spacing w:val="-4"/>
          <w:sz w:val="20"/>
          <w:szCs w:val="24"/>
        </w:rPr>
        <w:id w:val="1968546015"/>
        <w:docPartObj>
          <w:docPartGallery w:val="Table of Contents"/>
          <w:docPartUnique/>
        </w:docPartObj>
      </w:sdtPr>
      <w:sdtEndPr>
        <w:rPr>
          <w:rFonts w:asciiTheme="minorHAnsi" w:hAnsiTheme="minorHAnsi" w:cstheme="minorHAnsi"/>
          <w:noProof/>
          <w:szCs w:val="20"/>
        </w:rPr>
      </w:sdtEndPr>
      <w:sdtContent>
        <w:p w14:paraId="612072A5" w14:textId="1705200B" w:rsidR="00B9046C" w:rsidRDefault="00B9046C">
          <w:pPr>
            <w:pStyle w:val="TOCHeading"/>
          </w:pPr>
          <w:r>
            <w:t>Table of Contents</w:t>
          </w:r>
        </w:p>
        <w:p w14:paraId="77BC59EF" w14:textId="5A67D984" w:rsidR="00B9046C" w:rsidRDefault="00B9046C">
          <w:pPr>
            <w:pStyle w:val="TOC1"/>
            <w:tabs>
              <w:tab w:val="right" w:leader="dot" w:pos="10456"/>
            </w:tabs>
            <w:rPr>
              <w:rFonts w:eastAsiaTheme="minorEastAsia" w:cstheme="minorBidi"/>
              <w:b w:val="0"/>
              <w:noProof/>
              <w:spacing w:val="0"/>
              <w:sz w:val="24"/>
              <w:lang w:val="en-AU" w:eastAsia="en-GB"/>
            </w:rPr>
          </w:pPr>
          <w:r>
            <w:rPr>
              <w:b w:val="0"/>
              <w:bCs w:val="0"/>
            </w:rPr>
            <w:fldChar w:fldCharType="begin"/>
          </w:r>
          <w:r>
            <w:instrText xml:space="preserve"> TOC \o "1-3" \h \z \u </w:instrText>
          </w:r>
          <w:r>
            <w:rPr>
              <w:b w:val="0"/>
              <w:bCs w:val="0"/>
            </w:rPr>
            <w:fldChar w:fldCharType="separate"/>
          </w:r>
          <w:hyperlink w:anchor="_Toc87011061" w:history="1">
            <w:r w:rsidRPr="001C59B1">
              <w:rPr>
                <w:rStyle w:val="Hyperlink"/>
                <w:noProof/>
                <w:lang w:val="en-GB"/>
              </w:rPr>
              <w:t>Portfolio performance reporting – non-</w:t>
            </w:r>
            <w:r w:rsidRPr="001C59B1">
              <w:rPr>
                <w:rStyle w:val="Hyperlink"/>
                <w:noProof/>
              </w:rPr>
              <w:t>financial</w:t>
            </w:r>
            <w:r>
              <w:rPr>
                <w:noProof/>
                <w:webHidden/>
              </w:rPr>
              <w:tab/>
            </w:r>
            <w:r>
              <w:rPr>
                <w:noProof/>
                <w:webHidden/>
              </w:rPr>
              <w:fldChar w:fldCharType="begin"/>
            </w:r>
            <w:r>
              <w:rPr>
                <w:noProof/>
                <w:webHidden/>
              </w:rPr>
              <w:instrText xml:space="preserve"> PAGEREF _Toc87011061 \h </w:instrText>
            </w:r>
            <w:r>
              <w:rPr>
                <w:noProof/>
                <w:webHidden/>
              </w:rPr>
            </w:r>
            <w:r>
              <w:rPr>
                <w:noProof/>
                <w:webHidden/>
              </w:rPr>
              <w:fldChar w:fldCharType="separate"/>
            </w:r>
            <w:r>
              <w:rPr>
                <w:noProof/>
                <w:webHidden/>
              </w:rPr>
              <w:t>2</w:t>
            </w:r>
            <w:r>
              <w:rPr>
                <w:noProof/>
                <w:webHidden/>
              </w:rPr>
              <w:fldChar w:fldCharType="end"/>
            </w:r>
          </w:hyperlink>
        </w:p>
        <w:p w14:paraId="0FD31D7D" w14:textId="1FC78681" w:rsidR="00B9046C" w:rsidRDefault="00C221FC">
          <w:pPr>
            <w:pStyle w:val="TOC2"/>
            <w:tabs>
              <w:tab w:val="right" w:leader="dot" w:pos="10456"/>
            </w:tabs>
            <w:rPr>
              <w:rFonts w:eastAsiaTheme="minorEastAsia" w:cstheme="minorBidi"/>
              <w:noProof/>
              <w:spacing w:val="0"/>
              <w:sz w:val="24"/>
              <w:szCs w:val="24"/>
              <w:lang w:val="en-AU" w:eastAsia="en-GB"/>
            </w:rPr>
          </w:pPr>
          <w:hyperlink w:anchor="_Toc87011062" w:history="1">
            <w:r w:rsidR="00B9046C" w:rsidRPr="001C59B1">
              <w:rPr>
                <w:rStyle w:val="Hyperlink"/>
                <w:noProof/>
                <w:lang w:val="en-GB"/>
              </w:rPr>
              <w:t>Objective 1: Create and maintain jobs</w:t>
            </w:r>
            <w:r w:rsidR="00B9046C">
              <w:rPr>
                <w:noProof/>
                <w:webHidden/>
              </w:rPr>
              <w:tab/>
            </w:r>
            <w:r w:rsidR="00B9046C">
              <w:rPr>
                <w:noProof/>
                <w:webHidden/>
              </w:rPr>
              <w:fldChar w:fldCharType="begin"/>
            </w:r>
            <w:r w:rsidR="00B9046C">
              <w:rPr>
                <w:noProof/>
                <w:webHidden/>
              </w:rPr>
              <w:instrText xml:space="preserve"> PAGEREF _Toc87011062 \h </w:instrText>
            </w:r>
            <w:r w:rsidR="00B9046C">
              <w:rPr>
                <w:noProof/>
                <w:webHidden/>
              </w:rPr>
            </w:r>
            <w:r w:rsidR="00B9046C">
              <w:rPr>
                <w:noProof/>
                <w:webHidden/>
              </w:rPr>
              <w:fldChar w:fldCharType="separate"/>
            </w:r>
            <w:r w:rsidR="00B9046C">
              <w:rPr>
                <w:noProof/>
                <w:webHidden/>
              </w:rPr>
              <w:t>2</w:t>
            </w:r>
            <w:r w:rsidR="00B9046C">
              <w:rPr>
                <w:noProof/>
                <w:webHidden/>
              </w:rPr>
              <w:fldChar w:fldCharType="end"/>
            </w:r>
          </w:hyperlink>
        </w:p>
        <w:p w14:paraId="311EFB09" w14:textId="30FD10D5" w:rsidR="00B9046C" w:rsidRDefault="00C221FC">
          <w:pPr>
            <w:pStyle w:val="TOC2"/>
            <w:tabs>
              <w:tab w:val="right" w:leader="dot" w:pos="10456"/>
            </w:tabs>
            <w:rPr>
              <w:rFonts w:eastAsiaTheme="minorEastAsia" w:cstheme="minorBidi"/>
              <w:noProof/>
              <w:spacing w:val="0"/>
              <w:sz w:val="24"/>
              <w:szCs w:val="24"/>
              <w:lang w:val="en-AU" w:eastAsia="en-GB"/>
            </w:rPr>
          </w:pPr>
          <w:hyperlink w:anchor="_Toc87011063" w:history="1">
            <w:r w:rsidR="00B9046C" w:rsidRPr="001C59B1">
              <w:rPr>
                <w:rStyle w:val="Hyperlink"/>
                <w:noProof/>
                <w:lang w:val="en-GB"/>
              </w:rPr>
              <w:t>Progress towards achieving this objective</w:t>
            </w:r>
            <w:r w:rsidR="00B9046C">
              <w:rPr>
                <w:noProof/>
                <w:webHidden/>
              </w:rPr>
              <w:tab/>
            </w:r>
            <w:r w:rsidR="00B9046C">
              <w:rPr>
                <w:noProof/>
                <w:webHidden/>
              </w:rPr>
              <w:fldChar w:fldCharType="begin"/>
            </w:r>
            <w:r w:rsidR="00B9046C">
              <w:rPr>
                <w:noProof/>
                <w:webHidden/>
              </w:rPr>
              <w:instrText xml:space="preserve"> PAGEREF _Toc87011063 \h </w:instrText>
            </w:r>
            <w:r w:rsidR="00B9046C">
              <w:rPr>
                <w:noProof/>
                <w:webHidden/>
              </w:rPr>
            </w:r>
            <w:r w:rsidR="00B9046C">
              <w:rPr>
                <w:noProof/>
                <w:webHidden/>
              </w:rPr>
              <w:fldChar w:fldCharType="separate"/>
            </w:r>
            <w:r w:rsidR="00B9046C">
              <w:rPr>
                <w:noProof/>
                <w:webHidden/>
              </w:rPr>
              <w:t>2</w:t>
            </w:r>
            <w:r w:rsidR="00B9046C">
              <w:rPr>
                <w:noProof/>
                <w:webHidden/>
              </w:rPr>
              <w:fldChar w:fldCharType="end"/>
            </w:r>
          </w:hyperlink>
        </w:p>
        <w:p w14:paraId="0C914BB5" w14:textId="6C23BE02" w:rsidR="00B9046C" w:rsidRDefault="00C221FC">
          <w:pPr>
            <w:pStyle w:val="TOC3"/>
            <w:tabs>
              <w:tab w:val="right" w:leader="dot" w:pos="10456"/>
            </w:tabs>
            <w:rPr>
              <w:noProof/>
            </w:rPr>
          </w:pPr>
          <w:hyperlink w:anchor="_Toc87011064" w:history="1">
            <w:r w:rsidR="00B9046C" w:rsidRPr="001C59B1">
              <w:rPr>
                <w:rStyle w:val="Hyperlink"/>
                <w:noProof/>
                <w:lang w:val="en-GB"/>
              </w:rPr>
              <w:t>Objective Indicators</w:t>
            </w:r>
            <w:r w:rsidR="00B9046C">
              <w:rPr>
                <w:noProof/>
                <w:webHidden/>
              </w:rPr>
              <w:tab/>
            </w:r>
            <w:r w:rsidR="00B9046C">
              <w:rPr>
                <w:noProof/>
                <w:webHidden/>
              </w:rPr>
              <w:fldChar w:fldCharType="begin"/>
            </w:r>
            <w:r w:rsidR="00B9046C">
              <w:rPr>
                <w:noProof/>
                <w:webHidden/>
              </w:rPr>
              <w:instrText xml:space="preserve"> PAGEREF _Toc87011064 \h </w:instrText>
            </w:r>
            <w:r w:rsidR="00B9046C">
              <w:rPr>
                <w:noProof/>
                <w:webHidden/>
              </w:rPr>
            </w:r>
            <w:r w:rsidR="00B9046C">
              <w:rPr>
                <w:noProof/>
                <w:webHidden/>
              </w:rPr>
              <w:fldChar w:fldCharType="separate"/>
            </w:r>
            <w:r w:rsidR="00B9046C">
              <w:rPr>
                <w:noProof/>
                <w:webHidden/>
              </w:rPr>
              <w:t>2</w:t>
            </w:r>
            <w:r w:rsidR="00B9046C">
              <w:rPr>
                <w:noProof/>
                <w:webHidden/>
              </w:rPr>
              <w:fldChar w:fldCharType="end"/>
            </w:r>
          </w:hyperlink>
        </w:p>
        <w:p w14:paraId="3D122483" w14:textId="7EF701E2" w:rsidR="00B9046C" w:rsidRDefault="00C221FC">
          <w:pPr>
            <w:pStyle w:val="TOC3"/>
            <w:tabs>
              <w:tab w:val="right" w:leader="dot" w:pos="10456"/>
            </w:tabs>
            <w:rPr>
              <w:noProof/>
            </w:rPr>
          </w:pPr>
          <w:hyperlink w:anchor="_Toc87011065" w:history="1">
            <w:r w:rsidR="00B9046C" w:rsidRPr="001C59B1">
              <w:rPr>
                <w:rStyle w:val="Hyperlink"/>
                <w:noProof/>
                <w:lang w:val="en-GB"/>
              </w:rPr>
              <w:t>Outputs</w:t>
            </w:r>
            <w:r w:rsidR="00B9046C">
              <w:rPr>
                <w:noProof/>
                <w:webHidden/>
              </w:rPr>
              <w:tab/>
            </w:r>
            <w:r w:rsidR="00B9046C">
              <w:rPr>
                <w:noProof/>
                <w:webHidden/>
              </w:rPr>
              <w:fldChar w:fldCharType="begin"/>
            </w:r>
            <w:r w:rsidR="00B9046C">
              <w:rPr>
                <w:noProof/>
                <w:webHidden/>
              </w:rPr>
              <w:instrText xml:space="preserve"> PAGEREF _Toc87011065 \h </w:instrText>
            </w:r>
            <w:r w:rsidR="00B9046C">
              <w:rPr>
                <w:noProof/>
                <w:webHidden/>
              </w:rPr>
            </w:r>
            <w:r w:rsidR="00B9046C">
              <w:rPr>
                <w:noProof/>
                <w:webHidden/>
              </w:rPr>
              <w:fldChar w:fldCharType="separate"/>
            </w:r>
            <w:r w:rsidR="00B9046C">
              <w:rPr>
                <w:noProof/>
                <w:webHidden/>
              </w:rPr>
              <w:t>2</w:t>
            </w:r>
            <w:r w:rsidR="00B9046C">
              <w:rPr>
                <w:noProof/>
                <w:webHidden/>
              </w:rPr>
              <w:fldChar w:fldCharType="end"/>
            </w:r>
          </w:hyperlink>
        </w:p>
        <w:p w14:paraId="7C0F938C" w14:textId="4B536B16" w:rsidR="00B9046C" w:rsidRDefault="00C221FC">
          <w:pPr>
            <w:pStyle w:val="TOC2"/>
            <w:tabs>
              <w:tab w:val="right" w:leader="dot" w:pos="10456"/>
            </w:tabs>
            <w:rPr>
              <w:rFonts w:eastAsiaTheme="minorEastAsia" w:cstheme="minorBidi"/>
              <w:noProof/>
              <w:spacing w:val="0"/>
              <w:sz w:val="24"/>
              <w:szCs w:val="24"/>
              <w:lang w:val="en-AU" w:eastAsia="en-GB"/>
            </w:rPr>
          </w:pPr>
          <w:hyperlink w:anchor="_Toc87011066" w:history="1">
            <w:r w:rsidR="00B9046C" w:rsidRPr="001C59B1">
              <w:rPr>
                <w:rStyle w:val="Hyperlink"/>
                <w:noProof/>
                <w:lang w:val="en-GB"/>
              </w:rPr>
              <w:t>Objective 2: Foster a competitive business environment</w:t>
            </w:r>
            <w:r w:rsidR="00B9046C">
              <w:rPr>
                <w:noProof/>
                <w:webHidden/>
              </w:rPr>
              <w:tab/>
            </w:r>
            <w:r w:rsidR="00B9046C">
              <w:rPr>
                <w:noProof/>
                <w:webHidden/>
              </w:rPr>
              <w:fldChar w:fldCharType="begin"/>
            </w:r>
            <w:r w:rsidR="00B9046C">
              <w:rPr>
                <w:noProof/>
                <w:webHidden/>
              </w:rPr>
              <w:instrText xml:space="preserve"> PAGEREF _Toc87011066 \h </w:instrText>
            </w:r>
            <w:r w:rsidR="00B9046C">
              <w:rPr>
                <w:noProof/>
                <w:webHidden/>
              </w:rPr>
            </w:r>
            <w:r w:rsidR="00B9046C">
              <w:rPr>
                <w:noProof/>
                <w:webHidden/>
              </w:rPr>
              <w:fldChar w:fldCharType="separate"/>
            </w:r>
            <w:r w:rsidR="00B9046C">
              <w:rPr>
                <w:noProof/>
                <w:webHidden/>
              </w:rPr>
              <w:t>6</w:t>
            </w:r>
            <w:r w:rsidR="00B9046C">
              <w:rPr>
                <w:noProof/>
                <w:webHidden/>
              </w:rPr>
              <w:fldChar w:fldCharType="end"/>
            </w:r>
          </w:hyperlink>
        </w:p>
        <w:p w14:paraId="7C9C5984" w14:textId="0149DBA9" w:rsidR="00B9046C" w:rsidRDefault="00C221FC">
          <w:pPr>
            <w:pStyle w:val="TOC2"/>
            <w:tabs>
              <w:tab w:val="right" w:leader="dot" w:pos="10456"/>
            </w:tabs>
            <w:rPr>
              <w:rFonts w:eastAsiaTheme="minorEastAsia" w:cstheme="minorBidi"/>
              <w:noProof/>
              <w:spacing w:val="0"/>
              <w:sz w:val="24"/>
              <w:szCs w:val="24"/>
              <w:lang w:val="en-AU" w:eastAsia="en-GB"/>
            </w:rPr>
          </w:pPr>
          <w:hyperlink w:anchor="_Toc87011067" w:history="1">
            <w:r w:rsidR="00B9046C" w:rsidRPr="001C59B1">
              <w:rPr>
                <w:rStyle w:val="Hyperlink"/>
                <w:noProof/>
                <w:lang w:val="en-GB"/>
              </w:rPr>
              <w:t xml:space="preserve">Progress towards </w:t>
            </w:r>
            <w:r w:rsidR="00B9046C" w:rsidRPr="001C59B1">
              <w:rPr>
                <w:rStyle w:val="Hyperlink"/>
                <w:noProof/>
              </w:rPr>
              <w:t>achieving</w:t>
            </w:r>
            <w:r w:rsidR="00B9046C" w:rsidRPr="001C59B1">
              <w:rPr>
                <w:rStyle w:val="Hyperlink"/>
                <w:noProof/>
                <w:lang w:val="en-GB"/>
              </w:rPr>
              <w:t xml:space="preserve"> this objective</w:t>
            </w:r>
            <w:r w:rsidR="00B9046C">
              <w:rPr>
                <w:noProof/>
                <w:webHidden/>
              </w:rPr>
              <w:tab/>
            </w:r>
            <w:r w:rsidR="00B9046C">
              <w:rPr>
                <w:noProof/>
                <w:webHidden/>
              </w:rPr>
              <w:fldChar w:fldCharType="begin"/>
            </w:r>
            <w:r w:rsidR="00B9046C">
              <w:rPr>
                <w:noProof/>
                <w:webHidden/>
              </w:rPr>
              <w:instrText xml:space="preserve"> PAGEREF _Toc87011067 \h </w:instrText>
            </w:r>
            <w:r w:rsidR="00B9046C">
              <w:rPr>
                <w:noProof/>
                <w:webHidden/>
              </w:rPr>
            </w:r>
            <w:r w:rsidR="00B9046C">
              <w:rPr>
                <w:noProof/>
                <w:webHidden/>
              </w:rPr>
              <w:fldChar w:fldCharType="separate"/>
            </w:r>
            <w:r w:rsidR="00B9046C">
              <w:rPr>
                <w:noProof/>
                <w:webHidden/>
              </w:rPr>
              <w:t>6</w:t>
            </w:r>
            <w:r w:rsidR="00B9046C">
              <w:rPr>
                <w:noProof/>
                <w:webHidden/>
              </w:rPr>
              <w:fldChar w:fldCharType="end"/>
            </w:r>
          </w:hyperlink>
        </w:p>
        <w:p w14:paraId="1523204E" w14:textId="1B3FB535" w:rsidR="00B9046C" w:rsidRDefault="00C221FC">
          <w:pPr>
            <w:pStyle w:val="TOC3"/>
            <w:tabs>
              <w:tab w:val="right" w:leader="dot" w:pos="10456"/>
            </w:tabs>
            <w:rPr>
              <w:noProof/>
            </w:rPr>
          </w:pPr>
          <w:hyperlink w:anchor="_Toc87011068" w:history="1">
            <w:r w:rsidR="00B9046C" w:rsidRPr="001C59B1">
              <w:rPr>
                <w:rStyle w:val="Hyperlink"/>
                <w:noProof/>
                <w:lang w:val="en-GB"/>
              </w:rPr>
              <w:t>Objective Indicators</w:t>
            </w:r>
            <w:r w:rsidR="00B9046C">
              <w:rPr>
                <w:noProof/>
                <w:webHidden/>
              </w:rPr>
              <w:tab/>
            </w:r>
            <w:r w:rsidR="00B9046C">
              <w:rPr>
                <w:noProof/>
                <w:webHidden/>
              </w:rPr>
              <w:fldChar w:fldCharType="begin"/>
            </w:r>
            <w:r w:rsidR="00B9046C">
              <w:rPr>
                <w:noProof/>
                <w:webHidden/>
              </w:rPr>
              <w:instrText xml:space="preserve"> PAGEREF _Toc87011068 \h </w:instrText>
            </w:r>
            <w:r w:rsidR="00B9046C">
              <w:rPr>
                <w:noProof/>
                <w:webHidden/>
              </w:rPr>
            </w:r>
            <w:r w:rsidR="00B9046C">
              <w:rPr>
                <w:noProof/>
                <w:webHidden/>
              </w:rPr>
              <w:fldChar w:fldCharType="separate"/>
            </w:r>
            <w:r w:rsidR="00B9046C">
              <w:rPr>
                <w:noProof/>
                <w:webHidden/>
              </w:rPr>
              <w:t>7</w:t>
            </w:r>
            <w:r w:rsidR="00B9046C">
              <w:rPr>
                <w:noProof/>
                <w:webHidden/>
              </w:rPr>
              <w:fldChar w:fldCharType="end"/>
            </w:r>
          </w:hyperlink>
        </w:p>
        <w:p w14:paraId="7F9B13D8" w14:textId="2AFFB7BE" w:rsidR="00B9046C" w:rsidRDefault="00C221FC">
          <w:pPr>
            <w:pStyle w:val="TOC3"/>
            <w:tabs>
              <w:tab w:val="right" w:leader="dot" w:pos="10456"/>
            </w:tabs>
            <w:rPr>
              <w:noProof/>
            </w:rPr>
          </w:pPr>
          <w:hyperlink w:anchor="_Toc87011069" w:history="1">
            <w:r w:rsidR="00B9046C" w:rsidRPr="001C59B1">
              <w:rPr>
                <w:rStyle w:val="Hyperlink"/>
                <w:noProof/>
                <w:lang w:val="en-GB"/>
              </w:rPr>
              <w:t>Outputs</w:t>
            </w:r>
            <w:r w:rsidR="00B9046C">
              <w:rPr>
                <w:noProof/>
                <w:webHidden/>
              </w:rPr>
              <w:tab/>
            </w:r>
            <w:r w:rsidR="00B9046C">
              <w:rPr>
                <w:noProof/>
                <w:webHidden/>
              </w:rPr>
              <w:fldChar w:fldCharType="begin"/>
            </w:r>
            <w:r w:rsidR="00B9046C">
              <w:rPr>
                <w:noProof/>
                <w:webHidden/>
              </w:rPr>
              <w:instrText xml:space="preserve"> PAGEREF _Toc87011069 \h </w:instrText>
            </w:r>
            <w:r w:rsidR="00B9046C">
              <w:rPr>
                <w:noProof/>
                <w:webHidden/>
              </w:rPr>
            </w:r>
            <w:r w:rsidR="00B9046C">
              <w:rPr>
                <w:noProof/>
                <w:webHidden/>
              </w:rPr>
              <w:fldChar w:fldCharType="separate"/>
            </w:r>
            <w:r w:rsidR="00B9046C">
              <w:rPr>
                <w:noProof/>
                <w:webHidden/>
              </w:rPr>
              <w:t>7</w:t>
            </w:r>
            <w:r w:rsidR="00B9046C">
              <w:rPr>
                <w:noProof/>
                <w:webHidden/>
              </w:rPr>
              <w:fldChar w:fldCharType="end"/>
            </w:r>
          </w:hyperlink>
        </w:p>
        <w:p w14:paraId="7B55388E" w14:textId="3D000953" w:rsidR="00B9046C" w:rsidRDefault="00C221FC">
          <w:pPr>
            <w:pStyle w:val="TOC2"/>
            <w:tabs>
              <w:tab w:val="right" w:leader="dot" w:pos="10456"/>
            </w:tabs>
            <w:rPr>
              <w:rFonts w:eastAsiaTheme="minorEastAsia" w:cstheme="minorBidi"/>
              <w:noProof/>
              <w:spacing w:val="0"/>
              <w:sz w:val="24"/>
              <w:szCs w:val="24"/>
              <w:lang w:val="en-AU" w:eastAsia="en-GB"/>
            </w:rPr>
          </w:pPr>
          <w:hyperlink w:anchor="_Toc87011070" w:history="1">
            <w:r w:rsidR="00B9046C" w:rsidRPr="001C59B1">
              <w:rPr>
                <w:rStyle w:val="Hyperlink"/>
                <w:noProof/>
                <w:lang w:val="en-GB"/>
              </w:rPr>
              <w:t>Objective 3: Be a globally connected economy</w:t>
            </w:r>
            <w:r w:rsidR="00B9046C">
              <w:rPr>
                <w:noProof/>
                <w:webHidden/>
              </w:rPr>
              <w:tab/>
            </w:r>
            <w:r w:rsidR="00B9046C">
              <w:rPr>
                <w:noProof/>
                <w:webHidden/>
              </w:rPr>
              <w:fldChar w:fldCharType="begin"/>
            </w:r>
            <w:r w:rsidR="00B9046C">
              <w:rPr>
                <w:noProof/>
                <w:webHidden/>
              </w:rPr>
              <w:instrText xml:space="preserve"> PAGEREF _Toc87011070 \h </w:instrText>
            </w:r>
            <w:r w:rsidR="00B9046C">
              <w:rPr>
                <w:noProof/>
                <w:webHidden/>
              </w:rPr>
            </w:r>
            <w:r w:rsidR="00B9046C">
              <w:rPr>
                <w:noProof/>
                <w:webHidden/>
              </w:rPr>
              <w:fldChar w:fldCharType="separate"/>
            </w:r>
            <w:r w:rsidR="00B9046C">
              <w:rPr>
                <w:noProof/>
                <w:webHidden/>
              </w:rPr>
              <w:t>12</w:t>
            </w:r>
            <w:r w:rsidR="00B9046C">
              <w:rPr>
                <w:noProof/>
                <w:webHidden/>
              </w:rPr>
              <w:fldChar w:fldCharType="end"/>
            </w:r>
          </w:hyperlink>
        </w:p>
        <w:p w14:paraId="0F679FCB" w14:textId="669D5294" w:rsidR="00B9046C" w:rsidRDefault="00C221FC">
          <w:pPr>
            <w:pStyle w:val="TOC3"/>
            <w:tabs>
              <w:tab w:val="right" w:leader="dot" w:pos="10456"/>
            </w:tabs>
            <w:rPr>
              <w:noProof/>
            </w:rPr>
          </w:pPr>
          <w:hyperlink w:anchor="_Toc87011071" w:history="1">
            <w:r w:rsidR="00B9046C" w:rsidRPr="001C59B1">
              <w:rPr>
                <w:rStyle w:val="Hyperlink"/>
                <w:noProof/>
                <w:lang w:val="en-GB"/>
              </w:rPr>
              <w:t>Progress towards achieving this objective</w:t>
            </w:r>
            <w:r w:rsidR="00B9046C">
              <w:rPr>
                <w:noProof/>
                <w:webHidden/>
              </w:rPr>
              <w:tab/>
            </w:r>
            <w:r w:rsidR="00B9046C">
              <w:rPr>
                <w:noProof/>
                <w:webHidden/>
              </w:rPr>
              <w:fldChar w:fldCharType="begin"/>
            </w:r>
            <w:r w:rsidR="00B9046C">
              <w:rPr>
                <w:noProof/>
                <w:webHidden/>
              </w:rPr>
              <w:instrText xml:space="preserve"> PAGEREF _Toc87011071 \h </w:instrText>
            </w:r>
            <w:r w:rsidR="00B9046C">
              <w:rPr>
                <w:noProof/>
                <w:webHidden/>
              </w:rPr>
            </w:r>
            <w:r w:rsidR="00B9046C">
              <w:rPr>
                <w:noProof/>
                <w:webHidden/>
              </w:rPr>
              <w:fldChar w:fldCharType="separate"/>
            </w:r>
            <w:r w:rsidR="00B9046C">
              <w:rPr>
                <w:noProof/>
                <w:webHidden/>
              </w:rPr>
              <w:t>12</w:t>
            </w:r>
            <w:r w:rsidR="00B9046C">
              <w:rPr>
                <w:noProof/>
                <w:webHidden/>
              </w:rPr>
              <w:fldChar w:fldCharType="end"/>
            </w:r>
          </w:hyperlink>
        </w:p>
        <w:p w14:paraId="1569DA22" w14:textId="2D62FC58" w:rsidR="00B9046C" w:rsidRDefault="00C221FC">
          <w:pPr>
            <w:pStyle w:val="TOC3"/>
            <w:tabs>
              <w:tab w:val="right" w:leader="dot" w:pos="10456"/>
            </w:tabs>
            <w:rPr>
              <w:noProof/>
            </w:rPr>
          </w:pPr>
          <w:hyperlink w:anchor="_Toc87011072" w:history="1">
            <w:r w:rsidR="00B9046C" w:rsidRPr="001C59B1">
              <w:rPr>
                <w:rStyle w:val="Hyperlink"/>
                <w:noProof/>
                <w:lang w:val="en-GB"/>
              </w:rPr>
              <w:t>Outputs</w:t>
            </w:r>
            <w:r w:rsidR="00B9046C">
              <w:rPr>
                <w:noProof/>
                <w:webHidden/>
              </w:rPr>
              <w:tab/>
            </w:r>
            <w:r w:rsidR="00B9046C">
              <w:rPr>
                <w:noProof/>
                <w:webHidden/>
              </w:rPr>
              <w:fldChar w:fldCharType="begin"/>
            </w:r>
            <w:r w:rsidR="00B9046C">
              <w:rPr>
                <w:noProof/>
                <w:webHidden/>
              </w:rPr>
              <w:instrText xml:space="preserve"> PAGEREF _Toc87011072 \h </w:instrText>
            </w:r>
            <w:r w:rsidR="00B9046C">
              <w:rPr>
                <w:noProof/>
                <w:webHidden/>
              </w:rPr>
            </w:r>
            <w:r w:rsidR="00B9046C">
              <w:rPr>
                <w:noProof/>
                <w:webHidden/>
              </w:rPr>
              <w:fldChar w:fldCharType="separate"/>
            </w:r>
            <w:r w:rsidR="00B9046C">
              <w:rPr>
                <w:noProof/>
                <w:webHidden/>
              </w:rPr>
              <w:t>12</w:t>
            </w:r>
            <w:r w:rsidR="00B9046C">
              <w:rPr>
                <w:noProof/>
                <w:webHidden/>
              </w:rPr>
              <w:fldChar w:fldCharType="end"/>
            </w:r>
          </w:hyperlink>
        </w:p>
        <w:p w14:paraId="18E20459" w14:textId="10B532B9" w:rsidR="00B9046C" w:rsidRDefault="00C221FC">
          <w:pPr>
            <w:pStyle w:val="TOC2"/>
            <w:tabs>
              <w:tab w:val="right" w:leader="dot" w:pos="10456"/>
            </w:tabs>
            <w:rPr>
              <w:rFonts w:eastAsiaTheme="minorEastAsia" w:cstheme="minorBidi"/>
              <w:noProof/>
              <w:spacing w:val="0"/>
              <w:sz w:val="24"/>
              <w:szCs w:val="24"/>
              <w:lang w:val="en-AU" w:eastAsia="en-GB"/>
            </w:rPr>
          </w:pPr>
          <w:hyperlink w:anchor="_Toc87011073" w:history="1">
            <w:r w:rsidR="00B9046C" w:rsidRPr="001C59B1">
              <w:rPr>
                <w:rStyle w:val="Hyperlink"/>
                <w:noProof/>
                <w:lang w:val="en-GB"/>
              </w:rPr>
              <w:t>Objective 4: Build prosperous and liveable regions and precincts</w:t>
            </w:r>
            <w:r w:rsidR="00B9046C">
              <w:rPr>
                <w:noProof/>
                <w:webHidden/>
              </w:rPr>
              <w:tab/>
            </w:r>
            <w:r w:rsidR="00B9046C">
              <w:rPr>
                <w:noProof/>
                <w:webHidden/>
              </w:rPr>
              <w:fldChar w:fldCharType="begin"/>
            </w:r>
            <w:r w:rsidR="00B9046C">
              <w:rPr>
                <w:noProof/>
                <w:webHidden/>
              </w:rPr>
              <w:instrText xml:space="preserve"> PAGEREF _Toc87011073 \h </w:instrText>
            </w:r>
            <w:r w:rsidR="00B9046C">
              <w:rPr>
                <w:noProof/>
                <w:webHidden/>
              </w:rPr>
            </w:r>
            <w:r w:rsidR="00B9046C">
              <w:rPr>
                <w:noProof/>
                <w:webHidden/>
              </w:rPr>
              <w:fldChar w:fldCharType="separate"/>
            </w:r>
            <w:r w:rsidR="00B9046C">
              <w:rPr>
                <w:noProof/>
                <w:webHidden/>
              </w:rPr>
              <w:t>16</w:t>
            </w:r>
            <w:r w:rsidR="00B9046C">
              <w:rPr>
                <w:noProof/>
                <w:webHidden/>
              </w:rPr>
              <w:fldChar w:fldCharType="end"/>
            </w:r>
          </w:hyperlink>
        </w:p>
        <w:p w14:paraId="31CD9470" w14:textId="7F1BA4E1" w:rsidR="00B9046C" w:rsidRDefault="00C221FC">
          <w:pPr>
            <w:pStyle w:val="TOC3"/>
            <w:tabs>
              <w:tab w:val="right" w:leader="dot" w:pos="10456"/>
            </w:tabs>
            <w:rPr>
              <w:noProof/>
            </w:rPr>
          </w:pPr>
          <w:hyperlink w:anchor="_Toc87011074" w:history="1">
            <w:r w:rsidR="00B9046C" w:rsidRPr="001C59B1">
              <w:rPr>
                <w:rStyle w:val="Hyperlink"/>
                <w:noProof/>
                <w:lang w:val="en-GB"/>
              </w:rPr>
              <w:t>Progress towards achieving this objective</w:t>
            </w:r>
            <w:r w:rsidR="00B9046C">
              <w:rPr>
                <w:noProof/>
                <w:webHidden/>
              </w:rPr>
              <w:tab/>
            </w:r>
            <w:r w:rsidR="00B9046C">
              <w:rPr>
                <w:noProof/>
                <w:webHidden/>
              </w:rPr>
              <w:fldChar w:fldCharType="begin"/>
            </w:r>
            <w:r w:rsidR="00B9046C">
              <w:rPr>
                <w:noProof/>
                <w:webHidden/>
              </w:rPr>
              <w:instrText xml:space="preserve"> PAGEREF _Toc87011074 \h </w:instrText>
            </w:r>
            <w:r w:rsidR="00B9046C">
              <w:rPr>
                <w:noProof/>
                <w:webHidden/>
              </w:rPr>
            </w:r>
            <w:r w:rsidR="00B9046C">
              <w:rPr>
                <w:noProof/>
                <w:webHidden/>
              </w:rPr>
              <w:fldChar w:fldCharType="separate"/>
            </w:r>
            <w:r w:rsidR="00B9046C">
              <w:rPr>
                <w:noProof/>
                <w:webHidden/>
              </w:rPr>
              <w:t>16</w:t>
            </w:r>
            <w:r w:rsidR="00B9046C">
              <w:rPr>
                <w:noProof/>
                <w:webHidden/>
              </w:rPr>
              <w:fldChar w:fldCharType="end"/>
            </w:r>
          </w:hyperlink>
        </w:p>
        <w:p w14:paraId="36C458D1" w14:textId="6E3A4037" w:rsidR="00B9046C" w:rsidRDefault="00C221FC">
          <w:pPr>
            <w:pStyle w:val="TOC3"/>
            <w:tabs>
              <w:tab w:val="right" w:leader="dot" w:pos="10456"/>
            </w:tabs>
            <w:rPr>
              <w:noProof/>
            </w:rPr>
          </w:pPr>
          <w:hyperlink w:anchor="_Toc87011075" w:history="1">
            <w:r w:rsidR="00B9046C" w:rsidRPr="001C59B1">
              <w:rPr>
                <w:rStyle w:val="Hyperlink"/>
                <w:noProof/>
                <w:lang w:val="en-GB"/>
              </w:rPr>
              <w:t xml:space="preserve">Performance </w:t>
            </w:r>
            <w:r w:rsidR="00B9046C" w:rsidRPr="001C59B1">
              <w:rPr>
                <w:rStyle w:val="Hyperlink"/>
                <w:noProof/>
              </w:rPr>
              <w:t>against</w:t>
            </w:r>
            <w:r w:rsidR="00B9046C" w:rsidRPr="001C59B1">
              <w:rPr>
                <w:rStyle w:val="Hyperlink"/>
                <w:noProof/>
                <w:lang w:val="en-GB"/>
              </w:rPr>
              <w:t xml:space="preserve"> output performance measures</w:t>
            </w:r>
            <w:r w:rsidR="00B9046C">
              <w:rPr>
                <w:noProof/>
                <w:webHidden/>
              </w:rPr>
              <w:tab/>
            </w:r>
            <w:r w:rsidR="00B9046C">
              <w:rPr>
                <w:noProof/>
                <w:webHidden/>
              </w:rPr>
              <w:fldChar w:fldCharType="begin"/>
            </w:r>
            <w:r w:rsidR="00B9046C">
              <w:rPr>
                <w:noProof/>
                <w:webHidden/>
              </w:rPr>
              <w:instrText xml:space="preserve"> PAGEREF _Toc87011075 \h </w:instrText>
            </w:r>
            <w:r w:rsidR="00B9046C">
              <w:rPr>
                <w:noProof/>
                <w:webHidden/>
              </w:rPr>
            </w:r>
            <w:r w:rsidR="00B9046C">
              <w:rPr>
                <w:noProof/>
                <w:webHidden/>
              </w:rPr>
              <w:fldChar w:fldCharType="separate"/>
            </w:r>
            <w:r w:rsidR="00B9046C">
              <w:rPr>
                <w:noProof/>
                <w:webHidden/>
              </w:rPr>
              <w:t>21</w:t>
            </w:r>
            <w:r w:rsidR="00B9046C">
              <w:rPr>
                <w:noProof/>
                <w:webHidden/>
              </w:rPr>
              <w:fldChar w:fldCharType="end"/>
            </w:r>
          </w:hyperlink>
        </w:p>
        <w:p w14:paraId="25901262" w14:textId="36317F12" w:rsidR="00B9046C" w:rsidRDefault="00C221FC">
          <w:pPr>
            <w:pStyle w:val="TOC2"/>
            <w:tabs>
              <w:tab w:val="right" w:leader="dot" w:pos="10456"/>
            </w:tabs>
            <w:rPr>
              <w:rFonts w:eastAsiaTheme="minorEastAsia" w:cstheme="minorBidi"/>
              <w:noProof/>
              <w:spacing w:val="0"/>
              <w:sz w:val="24"/>
              <w:szCs w:val="24"/>
              <w:lang w:val="en-AU" w:eastAsia="en-GB"/>
            </w:rPr>
          </w:pPr>
          <w:hyperlink w:anchor="_Toc87011076" w:history="1">
            <w:r w:rsidR="00B9046C" w:rsidRPr="001C59B1">
              <w:rPr>
                <w:rStyle w:val="Hyperlink"/>
                <w:noProof/>
                <w:lang w:val="en-GB"/>
              </w:rPr>
              <w:t>Objective 5: Grow vibrant, active and creative communities</w:t>
            </w:r>
            <w:r w:rsidR="00B9046C">
              <w:rPr>
                <w:noProof/>
                <w:webHidden/>
              </w:rPr>
              <w:tab/>
            </w:r>
            <w:r w:rsidR="00B9046C">
              <w:rPr>
                <w:noProof/>
                <w:webHidden/>
              </w:rPr>
              <w:fldChar w:fldCharType="begin"/>
            </w:r>
            <w:r w:rsidR="00B9046C">
              <w:rPr>
                <w:noProof/>
                <w:webHidden/>
              </w:rPr>
              <w:instrText xml:space="preserve"> PAGEREF _Toc87011076 \h </w:instrText>
            </w:r>
            <w:r w:rsidR="00B9046C">
              <w:rPr>
                <w:noProof/>
                <w:webHidden/>
              </w:rPr>
            </w:r>
            <w:r w:rsidR="00B9046C">
              <w:rPr>
                <w:noProof/>
                <w:webHidden/>
              </w:rPr>
              <w:fldChar w:fldCharType="separate"/>
            </w:r>
            <w:r w:rsidR="00B9046C">
              <w:rPr>
                <w:noProof/>
                <w:webHidden/>
              </w:rPr>
              <w:t>25</w:t>
            </w:r>
            <w:r w:rsidR="00B9046C">
              <w:rPr>
                <w:noProof/>
                <w:webHidden/>
              </w:rPr>
              <w:fldChar w:fldCharType="end"/>
            </w:r>
          </w:hyperlink>
        </w:p>
        <w:p w14:paraId="231E05E1" w14:textId="4D6D5B81" w:rsidR="00B9046C" w:rsidRDefault="00C221FC">
          <w:pPr>
            <w:pStyle w:val="TOC3"/>
            <w:tabs>
              <w:tab w:val="right" w:leader="dot" w:pos="10456"/>
            </w:tabs>
            <w:rPr>
              <w:noProof/>
            </w:rPr>
          </w:pPr>
          <w:hyperlink w:anchor="_Toc87011077" w:history="1">
            <w:r w:rsidR="00B9046C" w:rsidRPr="001C59B1">
              <w:rPr>
                <w:rStyle w:val="Hyperlink"/>
                <w:noProof/>
                <w:lang w:val="en-GB"/>
              </w:rPr>
              <w:t>Progress towards achieving this objective</w:t>
            </w:r>
            <w:r w:rsidR="00B9046C">
              <w:rPr>
                <w:noProof/>
                <w:webHidden/>
              </w:rPr>
              <w:tab/>
            </w:r>
            <w:r w:rsidR="00B9046C">
              <w:rPr>
                <w:noProof/>
                <w:webHidden/>
              </w:rPr>
              <w:fldChar w:fldCharType="begin"/>
            </w:r>
            <w:r w:rsidR="00B9046C">
              <w:rPr>
                <w:noProof/>
                <w:webHidden/>
              </w:rPr>
              <w:instrText xml:space="preserve"> PAGEREF _Toc87011077 \h </w:instrText>
            </w:r>
            <w:r w:rsidR="00B9046C">
              <w:rPr>
                <w:noProof/>
                <w:webHidden/>
              </w:rPr>
            </w:r>
            <w:r w:rsidR="00B9046C">
              <w:rPr>
                <w:noProof/>
                <w:webHidden/>
              </w:rPr>
              <w:fldChar w:fldCharType="separate"/>
            </w:r>
            <w:r w:rsidR="00B9046C">
              <w:rPr>
                <w:noProof/>
                <w:webHidden/>
              </w:rPr>
              <w:t>26</w:t>
            </w:r>
            <w:r w:rsidR="00B9046C">
              <w:rPr>
                <w:noProof/>
                <w:webHidden/>
              </w:rPr>
              <w:fldChar w:fldCharType="end"/>
            </w:r>
          </w:hyperlink>
        </w:p>
        <w:p w14:paraId="51D45F21" w14:textId="0D0E175C" w:rsidR="00B9046C" w:rsidRDefault="00C221FC">
          <w:pPr>
            <w:pStyle w:val="TOC2"/>
            <w:tabs>
              <w:tab w:val="right" w:leader="dot" w:pos="10456"/>
            </w:tabs>
            <w:rPr>
              <w:rFonts w:eastAsiaTheme="minorEastAsia" w:cstheme="minorBidi"/>
              <w:noProof/>
              <w:spacing w:val="0"/>
              <w:sz w:val="24"/>
              <w:szCs w:val="24"/>
              <w:lang w:val="en-AU" w:eastAsia="en-GB"/>
            </w:rPr>
          </w:pPr>
          <w:hyperlink w:anchor="_Toc87011078" w:history="1">
            <w:r w:rsidR="00B9046C" w:rsidRPr="001C59B1">
              <w:rPr>
                <w:rStyle w:val="Hyperlink"/>
                <w:noProof/>
                <w:lang w:val="en-GB"/>
              </w:rPr>
              <w:t>Objective 6: Promote productive and sustainably used natural resources</w:t>
            </w:r>
            <w:r w:rsidR="00B9046C">
              <w:rPr>
                <w:noProof/>
                <w:webHidden/>
              </w:rPr>
              <w:tab/>
            </w:r>
            <w:r w:rsidR="00B9046C">
              <w:rPr>
                <w:noProof/>
                <w:webHidden/>
              </w:rPr>
              <w:fldChar w:fldCharType="begin"/>
            </w:r>
            <w:r w:rsidR="00B9046C">
              <w:rPr>
                <w:noProof/>
                <w:webHidden/>
              </w:rPr>
              <w:instrText xml:space="preserve"> PAGEREF _Toc87011078 \h </w:instrText>
            </w:r>
            <w:r w:rsidR="00B9046C">
              <w:rPr>
                <w:noProof/>
                <w:webHidden/>
              </w:rPr>
            </w:r>
            <w:r w:rsidR="00B9046C">
              <w:rPr>
                <w:noProof/>
                <w:webHidden/>
              </w:rPr>
              <w:fldChar w:fldCharType="separate"/>
            </w:r>
            <w:r w:rsidR="00B9046C">
              <w:rPr>
                <w:noProof/>
                <w:webHidden/>
              </w:rPr>
              <w:t>47</w:t>
            </w:r>
            <w:r w:rsidR="00B9046C">
              <w:rPr>
                <w:noProof/>
                <w:webHidden/>
              </w:rPr>
              <w:fldChar w:fldCharType="end"/>
            </w:r>
          </w:hyperlink>
        </w:p>
        <w:p w14:paraId="34DB1F59" w14:textId="2F75DF6E" w:rsidR="00B9046C" w:rsidRDefault="00C221FC" w:rsidP="00286AE3">
          <w:pPr>
            <w:pStyle w:val="TOC3"/>
            <w:tabs>
              <w:tab w:val="right" w:leader="dot" w:pos="10456"/>
            </w:tabs>
          </w:pPr>
          <w:hyperlink w:anchor="_Toc87011079" w:history="1">
            <w:r w:rsidR="00B9046C" w:rsidRPr="001C59B1">
              <w:rPr>
                <w:rStyle w:val="Hyperlink"/>
                <w:noProof/>
                <w:lang w:val="en-GB"/>
              </w:rPr>
              <w:t>Progress towards achieving this objective</w:t>
            </w:r>
            <w:r w:rsidR="00B9046C">
              <w:rPr>
                <w:noProof/>
                <w:webHidden/>
              </w:rPr>
              <w:tab/>
            </w:r>
            <w:r w:rsidR="00B9046C">
              <w:rPr>
                <w:noProof/>
                <w:webHidden/>
              </w:rPr>
              <w:fldChar w:fldCharType="begin"/>
            </w:r>
            <w:r w:rsidR="00B9046C">
              <w:rPr>
                <w:noProof/>
                <w:webHidden/>
              </w:rPr>
              <w:instrText xml:space="preserve"> PAGEREF _Toc87011079 \h </w:instrText>
            </w:r>
            <w:r w:rsidR="00B9046C">
              <w:rPr>
                <w:noProof/>
                <w:webHidden/>
              </w:rPr>
            </w:r>
            <w:r w:rsidR="00B9046C">
              <w:rPr>
                <w:noProof/>
                <w:webHidden/>
              </w:rPr>
              <w:fldChar w:fldCharType="separate"/>
            </w:r>
            <w:r w:rsidR="00B9046C">
              <w:rPr>
                <w:noProof/>
                <w:webHidden/>
              </w:rPr>
              <w:t>47</w:t>
            </w:r>
            <w:r w:rsidR="00B9046C">
              <w:rPr>
                <w:noProof/>
                <w:webHidden/>
              </w:rPr>
              <w:fldChar w:fldCharType="end"/>
            </w:r>
          </w:hyperlink>
          <w:r w:rsidR="00B9046C">
            <w:rPr>
              <w:b/>
              <w:bCs/>
              <w:noProof/>
            </w:rPr>
            <w:fldChar w:fldCharType="end"/>
          </w:r>
        </w:p>
      </w:sdtContent>
    </w:sdt>
    <w:p w14:paraId="769BD6B5" w14:textId="33ABE251" w:rsidR="004A7EDA" w:rsidRPr="004A7EDA" w:rsidRDefault="004A7EDA" w:rsidP="001C25E8">
      <w:pPr>
        <w:pStyle w:val="Heading1"/>
        <w:rPr>
          <w:lang w:val="en-GB"/>
        </w:rPr>
      </w:pPr>
      <w:bookmarkStart w:id="0" w:name="_Toc87011061"/>
      <w:r w:rsidRPr="004A7EDA">
        <w:rPr>
          <w:lang w:val="en-GB"/>
        </w:rPr>
        <w:t>Portfolio performance reporting – non-</w:t>
      </w:r>
      <w:r w:rsidRPr="001C25E8">
        <w:t>financial</w:t>
      </w:r>
      <w:bookmarkEnd w:id="0"/>
    </w:p>
    <w:p w14:paraId="5388D497" w14:textId="77777777" w:rsidR="004A7EDA" w:rsidRPr="004A7EDA" w:rsidRDefault="004A7EDA" w:rsidP="004A7EDA">
      <w:pPr>
        <w:rPr>
          <w:lang w:val="en-GB"/>
        </w:rPr>
      </w:pPr>
      <w:r w:rsidRPr="004A7EDA">
        <w:rPr>
          <w:lang w:val="en-GB"/>
        </w:rPr>
        <w:t xml:space="preserve">As </w:t>
      </w:r>
      <w:proofErr w:type="gramStart"/>
      <w:r w:rsidRPr="004A7EDA">
        <w:rPr>
          <w:lang w:val="en-GB"/>
        </w:rPr>
        <w:t>at</w:t>
      </w:r>
      <w:proofErr w:type="gramEnd"/>
      <w:r w:rsidRPr="004A7EDA">
        <w:rPr>
          <w:lang w:val="en-GB"/>
        </w:rPr>
        <w:t xml:space="preserve"> 30 June 2021, DJPR had 172 non-cost output performance measures, published in the 2020–21 Budget Papers.</w:t>
      </w:r>
    </w:p>
    <w:p w14:paraId="435081FE" w14:textId="57BCE021" w:rsidR="004A7EDA" w:rsidRPr="004A7EDA" w:rsidRDefault="004A7EDA" w:rsidP="004A7EDA">
      <w:pPr>
        <w:rPr>
          <w:lang w:val="en-GB"/>
        </w:rPr>
      </w:pPr>
      <w:r w:rsidRPr="004A7EDA">
        <w:rPr>
          <w:lang w:val="en-GB"/>
        </w:rPr>
        <w:t>The department met or exceeded 70 per cent</w:t>
      </w:r>
      <w:r w:rsidR="001C25E8">
        <w:rPr>
          <w:lang w:val="en-GB"/>
        </w:rPr>
        <w:t xml:space="preserve"> </w:t>
      </w:r>
      <w:r w:rsidRPr="004A7EDA">
        <w:rPr>
          <w:lang w:val="en-GB"/>
        </w:rPr>
        <w:t>(121 measures) of the 2020–21 output performance measure targets. Predominantly due to the</w:t>
      </w:r>
      <w:r w:rsidR="001C25E8">
        <w:rPr>
          <w:lang w:val="en-GB"/>
        </w:rPr>
        <w:t xml:space="preserve"> </w:t>
      </w:r>
      <w:r w:rsidRPr="004A7EDA">
        <w:rPr>
          <w:lang w:val="en-GB"/>
        </w:rPr>
        <w:t>impacts of COVID-19, 30 per cent (51 measures)</w:t>
      </w:r>
      <w:r w:rsidR="001C25E8">
        <w:rPr>
          <w:lang w:val="en-GB"/>
        </w:rPr>
        <w:t xml:space="preserve"> </w:t>
      </w:r>
      <w:r w:rsidRPr="004A7EDA">
        <w:rPr>
          <w:lang w:val="en-GB"/>
        </w:rPr>
        <w:t>of performance measures did not meet their targets. Approximately 80 per cent of these measures relied on physical/social interactions and travel or were impacted by diverted resources to recovery efforts.</w:t>
      </w:r>
    </w:p>
    <w:p w14:paraId="0297BEA6" w14:textId="77777777" w:rsidR="004A7EDA" w:rsidRPr="004A7EDA" w:rsidRDefault="004A7EDA" w:rsidP="004A7EDA">
      <w:pPr>
        <w:rPr>
          <w:lang w:val="en-GB"/>
        </w:rPr>
      </w:pPr>
      <w:r w:rsidRPr="004A7EDA">
        <w:rPr>
          <w:lang w:val="en-GB"/>
        </w:rPr>
        <w:t>For those performance measures which were not significantly affected, mitigation strategies included increased use of online presence to continue activities or services where feasible. In addition, increased support provided to businesses and industry in response to these events resulted in some measures exceeding their targets.</w:t>
      </w:r>
    </w:p>
    <w:p w14:paraId="1279A3D3" w14:textId="77777777" w:rsidR="004A7EDA" w:rsidRPr="004A7EDA" w:rsidRDefault="004A7EDA" w:rsidP="004A7EDA">
      <w:pPr>
        <w:rPr>
          <w:lang w:val="en-GB"/>
        </w:rPr>
      </w:pPr>
      <w:r w:rsidRPr="004A7EDA">
        <w:rPr>
          <w:lang w:val="en-GB"/>
        </w:rPr>
        <w:t>The portfolio performance reporting – non-financial section includes the:</w:t>
      </w:r>
    </w:p>
    <w:p w14:paraId="096C0A32" w14:textId="77777777" w:rsidR="00991083" w:rsidRPr="00991083" w:rsidRDefault="004A7EDA" w:rsidP="00A52B01">
      <w:pPr>
        <w:pStyle w:val="TableBullet"/>
        <w:rPr>
          <w:lang w:val="en-GB"/>
        </w:rPr>
      </w:pPr>
      <w:r w:rsidRPr="00991083">
        <w:rPr>
          <w:lang w:val="en-GB"/>
        </w:rPr>
        <w:t xml:space="preserve">Report on </w:t>
      </w:r>
      <w:r w:rsidRPr="004A7EDA">
        <w:t>progress towards achieving objectives, incorporating key initiatives and projects</w:t>
      </w:r>
    </w:p>
    <w:p w14:paraId="7AEA7741" w14:textId="77777777" w:rsidR="004A7EDA" w:rsidRPr="00991083" w:rsidRDefault="004A7EDA" w:rsidP="00A52B01">
      <w:pPr>
        <w:pStyle w:val="TableBullet"/>
        <w:rPr>
          <w:lang w:val="en-GB"/>
        </w:rPr>
      </w:pPr>
      <w:r w:rsidRPr="004A7EDA">
        <w:t>Report on per</w:t>
      </w:r>
      <w:proofErr w:type="spellStart"/>
      <w:r w:rsidRPr="00991083">
        <w:rPr>
          <w:lang w:val="en-GB"/>
        </w:rPr>
        <w:t>formance</w:t>
      </w:r>
      <w:proofErr w:type="spellEnd"/>
      <w:r w:rsidRPr="00991083">
        <w:rPr>
          <w:lang w:val="en-GB"/>
        </w:rPr>
        <w:t xml:space="preserve"> against output performance measures.</w:t>
      </w:r>
    </w:p>
    <w:p w14:paraId="361C0AEF" w14:textId="0AE889EE" w:rsidR="004A7EDA" w:rsidRPr="004A7EDA" w:rsidRDefault="004A7EDA" w:rsidP="0042727B">
      <w:pPr>
        <w:pStyle w:val="Heading1"/>
        <w:rPr>
          <w:lang w:val="en-GB"/>
        </w:rPr>
      </w:pPr>
      <w:bookmarkStart w:id="1" w:name="_Toc87011062"/>
      <w:r w:rsidRPr="004A7EDA">
        <w:rPr>
          <w:lang w:val="en-GB"/>
        </w:rPr>
        <w:lastRenderedPageBreak/>
        <w:t>Objective 1: Create and</w:t>
      </w:r>
      <w:r>
        <w:rPr>
          <w:lang w:val="en-GB"/>
        </w:rPr>
        <w:t xml:space="preserve"> </w:t>
      </w:r>
      <w:r w:rsidRPr="004A7EDA">
        <w:rPr>
          <w:lang w:val="en-GB"/>
        </w:rPr>
        <w:t>maintain jobs</w:t>
      </w:r>
      <w:bookmarkEnd w:id="1"/>
    </w:p>
    <w:p w14:paraId="6CDC46BE" w14:textId="1D1E3050" w:rsidR="004A7EDA" w:rsidRPr="004A7EDA" w:rsidRDefault="004A7EDA" w:rsidP="004A7EDA">
      <w:pPr>
        <w:rPr>
          <w:lang w:val="en-GB"/>
        </w:rPr>
      </w:pPr>
      <w:r w:rsidRPr="004A7EDA">
        <w:rPr>
          <w:lang w:val="en-GB"/>
        </w:rPr>
        <w:t>This objective seeks to secure a growing,</w:t>
      </w:r>
      <w:r>
        <w:rPr>
          <w:lang w:val="en-GB"/>
        </w:rPr>
        <w:t xml:space="preserve"> </w:t>
      </w:r>
      <w:proofErr w:type="gramStart"/>
      <w:r w:rsidRPr="004A7EDA">
        <w:rPr>
          <w:lang w:val="en-GB"/>
        </w:rPr>
        <w:t>sustainable</w:t>
      </w:r>
      <w:proofErr w:type="gramEnd"/>
      <w:r w:rsidRPr="004A7EDA">
        <w:rPr>
          <w:lang w:val="en-GB"/>
        </w:rPr>
        <w:t xml:space="preserve"> and equitable jobs market for all Victorians by working with businesses to increase job opportunities, support people into meaningful employment, and attract the investment and</w:t>
      </w:r>
      <w:r w:rsidRPr="004A7EDA">
        <w:rPr>
          <w:lang w:val="en-GB"/>
        </w:rPr>
        <w:br/>
        <w:t>talent needed to foster job growth.</w:t>
      </w:r>
    </w:p>
    <w:p w14:paraId="5992D1A5" w14:textId="1448D534" w:rsidR="004A7EDA" w:rsidRPr="004A7EDA" w:rsidRDefault="004A7EDA" w:rsidP="004A7EDA">
      <w:pPr>
        <w:pStyle w:val="Heading2"/>
        <w:rPr>
          <w:lang w:val="en-GB"/>
        </w:rPr>
      </w:pPr>
      <w:bookmarkStart w:id="2" w:name="_Toc87011063"/>
      <w:r w:rsidRPr="004A7EDA">
        <w:rPr>
          <w:lang w:val="en-GB"/>
        </w:rPr>
        <w:t>Progress towards achieving</w:t>
      </w:r>
      <w:r>
        <w:rPr>
          <w:lang w:val="en-GB"/>
        </w:rPr>
        <w:t xml:space="preserve"> </w:t>
      </w:r>
      <w:r w:rsidRPr="004A7EDA">
        <w:rPr>
          <w:lang w:val="en-GB"/>
        </w:rPr>
        <w:t>this objective</w:t>
      </w:r>
      <w:bookmarkEnd w:id="2"/>
    </w:p>
    <w:p w14:paraId="7081930F" w14:textId="77777777" w:rsidR="004A7EDA" w:rsidRPr="004A7EDA" w:rsidRDefault="004A7EDA" w:rsidP="004A7EDA">
      <w:pPr>
        <w:rPr>
          <w:lang w:val="en-GB"/>
        </w:rPr>
      </w:pPr>
      <w:r w:rsidRPr="004A7EDA">
        <w:rPr>
          <w:lang w:val="en-GB"/>
        </w:rPr>
        <w:t>In 2020–21, the department reported progress against this objective using the following objective indicators and outputs:</w:t>
      </w:r>
    </w:p>
    <w:p w14:paraId="35F3AAC6" w14:textId="77777777" w:rsidR="004A7EDA" w:rsidRPr="004A7EDA" w:rsidRDefault="004A7EDA" w:rsidP="004A7EDA">
      <w:pPr>
        <w:pStyle w:val="Heading3"/>
        <w:rPr>
          <w:lang w:val="en-GB"/>
        </w:rPr>
      </w:pPr>
      <w:bookmarkStart w:id="3" w:name="_Toc87011064"/>
      <w:r w:rsidRPr="004A7EDA">
        <w:rPr>
          <w:lang w:val="en-GB"/>
        </w:rPr>
        <w:t>Objective Indicators</w:t>
      </w:r>
      <w:bookmarkEnd w:id="3"/>
    </w:p>
    <w:p w14:paraId="5FEB3F60" w14:textId="77777777" w:rsidR="004A7EDA" w:rsidRPr="004A7EDA" w:rsidRDefault="004A7EDA" w:rsidP="00210E6A">
      <w:pPr>
        <w:pStyle w:val="Bullet"/>
        <w:rPr>
          <w:lang w:val="en-GB"/>
        </w:rPr>
      </w:pPr>
      <w:r w:rsidRPr="004A7EDA">
        <w:rPr>
          <w:lang w:val="en-GB"/>
        </w:rPr>
        <w:t>People employed in Victoria</w:t>
      </w:r>
    </w:p>
    <w:p w14:paraId="5EEB30B9" w14:textId="77777777" w:rsidR="004A7EDA" w:rsidRPr="004A7EDA" w:rsidRDefault="004A7EDA" w:rsidP="004A7EDA">
      <w:pPr>
        <w:pStyle w:val="Heading3"/>
        <w:rPr>
          <w:lang w:val="en-GB"/>
        </w:rPr>
      </w:pPr>
      <w:bookmarkStart w:id="4" w:name="_Toc87011065"/>
      <w:r w:rsidRPr="004A7EDA">
        <w:rPr>
          <w:lang w:val="en-GB"/>
        </w:rPr>
        <w:t>Outputs</w:t>
      </w:r>
      <w:bookmarkEnd w:id="4"/>
    </w:p>
    <w:p w14:paraId="7FB903CB" w14:textId="77777777" w:rsidR="004A7EDA" w:rsidRPr="004A7EDA" w:rsidRDefault="004A7EDA" w:rsidP="00210E6A">
      <w:pPr>
        <w:pStyle w:val="Bullet"/>
        <w:rPr>
          <w:lang w:val="en-GB"/>
        </w:rPr>
      </w:pPr>
      <w:r w:rsidRPr="00210E6A">
        <w:t>Jobs</w:t>
      </w:r>
    </w:p>
    <w:p w14:paraId="060BF035" w14:textId="77777777" w:rsidR="004A7EDA" w:rsidRPr="004A7EDA" w:rsidRDefault="004A7EDA" w:rsidP="004A7EDA">
      <w:pPr>
        <w:pStyle w:val="Heading4"/>
        <w:rPr>
          <w:lang w:val="en-GB"/>
        </w:rPr>
      </w:pPr>
      <w:r w:rsidRPr="004A7EDA">
        <w:rPr>
          <w:lang w:val="en-GB"/>
        </w:rPr>
        <w:t>Indicator: People employed in Victoria</w:t>
      </w:r>
    </w:p>
    <w:p w14:paraId="130ACCF1" w14:textId="77777777" w:rsidR="004A7EDA" w:rsidRPr="004A7EDA" w:rsidRDefault="004A7EDA" w:rsidP="004A7EDA">
      <w:pPr>
        <w:pStyle w:val="Heading5"/>
        <w:rPr>
          <w:lang w:val="en-GB"/>
        </w:rPr>
      </w:pPr>
      <w:r w:rsidRPr="004A7EDA">
        <w:rPr>
          <w:lang w:val="en-GB"/>
        </w:rPr>
        <w:t>Table 1: People employed in Victoria</w:t>
      </w:r>
    </w:p>
    <w:tbl>
      <w:tblPr>
        <w:tblW w:w="0" w:type="auto"/>
        <w:tblInd w:w="28" w:type="dxa"/>
        <w:tblLayout w:type="fixed"/>
        <w:tblCellMar>
          <w:left w:w="0" w:type="dxa"/>
          <w:right w:w="0" w:type="dxa"/>
        </w:tblCellMar>
        <w:tblLook w:val="0000" w:firstRow="0" w:lastRow="0" w:firstColumn="0" w:lastColumn="0" w:noHBand="0" w:noVBand="0"/>
      </w:tblPr>
      <w:tblGrid>
        <w:gridCol w:w="4479"/>
        <w:gridCol w:w="1290"/>
        <w:gridCol w:w="1289"/>
        <w:gridCol w:w="1290"/>
        <w:gridCol w:w="1290"/>
      </w:tblGrid>
      <w:tr w:rsidR="004A7EDA" w:rsidRPr="00991083" w14:paraId="5D758E50" w14:textId="77777777" w:rsidTr="00233F5B">
        <w:trPr>
          <w:trHeight w:val="156"/>
          <w:tblHeader/>
        </w:trPr>
        <w:tc>
          <w:tcPr>
            <w:tcW w:w="4479" w:type="dxa"/>
            <w:tcBorders>
              <w:top w:val="single" w:sz="6" w:space="0" w:color="000056"/>
              <w:left w:val="single" w:sz="6" w:space="0" w:color="auto"/>
              <w:bottom w:val="single" w:sz="6" w:space="0" w:color="000056"/>
              <w:right w:val="single" w:sz="6" w:space="0" w:color="000056"/>
            </w:tcBorders>
            <w:tcMar>
              <w:top w:w="113" w:type="dxa"/>
              <w:left w:w="28" w:type="dxa"/>
              <w:bottom w:w="113" w:type="dxa"/>
              <w:right w:w="28" w:type="dxa"/>
            </w:tcMar>
          </w:tcPr>
          <w:p w14:paraId="2064E90F" w14:textId="77777777" w:rsidR="004A7EDA" w:rsidRPr="00991083" w:rsidRDefault="004A7EDA" w:rsidP="00991083">
            <w:pPr>
              <w:pStyle w:val="TableHeading"/>
            </w:pPr>
            <w:r w:rsidRPr="00991083">
              <w:t>Measure (unit of measure)</w:t>
            </w:r>
          </w:p>
        </w:tc>
        <w:tc>
          <w:tcPr>
            <w:tcW w:w="1290" w:type="dxa"/>
            <w:tcBorders>
              <w:top w:val="single" w:sz="6" w:space="0" w:color="000056"/>
              <w:left w:val="single" w:sz="6" w:space="0" w:color="000056"/>
              <w:bottom w:val="single" w:sz="6" w:space="0" w:color="000056"/>
              <w:right w:val="single" w:sz="6" w:space="0" w:color="000056"/>
            </w:tcBorders>
            <w:tcMar>
              <w:top w:w="113" w:type="dxa"/>
              <w:left w:w="28" w:type="dxa"/>
              <w:bottom w:w="113" w:type="dxa"/>
              <w:right w:w="28" w:type="dxa"/>
            </w:tcMar>
          </w:tcPr>
          <w:p w14:paraId="5A4D9E11" w14:textId="77777777" w:rsidR="004A7EDA" w:rsidRPr="00991083" w:rsidRDefault="004A7EDA" w:rsidP="00991083">
            <w:pPr>
              <w:pStyle w:val="TableHeading"/>
            </w:pPr>
            <w:r w:rsidRPr="00991083">
              <w:t>2017–18</w:t>
            </w:r>
          </w:p>
        </w:tc>
        <w:tc>
          <w:tcPr>
            <w:tcW w:w="1289" w:type="dxa"/>
            <w:tcBorders>
              <w:top w:val="single" w:sz="6" w:space="0" w:color="000056"/>
              <w:left w:val="single" w:sz="6" w:space="0" w:color="000056"/>
              <w:bottom w:val="single" w:sz="6" w:space="0" w:color="000056"/>
              <w:right w:val="single" w:sz="6" w:space="0" w:color="000056"/>
            </w:tcBorders>
            <w:tcMar>
              <w:top w:w="113" w:type="dxa"/>
              <w:left w:w="28" w:type="dxa"/>
              <w:bottom w:w="113" w:type="dxa"/>
              <w:right w:w="28" w:type="dxa"/>
            </w:tcMar>
          </w:tcPr>
          <w:p w14:paraId="6EB5E62A" w14:textId="77777777" w:rsidR="004A7EDA" w:rsidRPr="00991083" w:rsidRDefault="004A7EDA" w:rsidP="00991083">
            <w:pPr>
              <w:pStyle w:val="TableHeading"/>
            </w:pPr>
            <w:r w:rsidRPr="00991083">
              <w:t>2018–19</w:t>
            </w:r>
          </w:p>
        </w:tc>
        <w:tc>
          <w:tcPr>
            <w:tcW w:w="1290" w:type="dxa"/>
            <w:tcBorders>
              <w:top w:val="single" w:sz="6" w:space="0" w:color="000056"/>
              <w:left w:val="single" w:sz="6" w:space="0" w:color="000056"/>
              <w:bottom w:val="single" w:sz="6" w:space="0" w:color="000056"/>
              <w:right w:val="single" w:sz="6" w:space="0" w:color="000056"/>
            </w:tcBorders>
            <w:tcMar>
              <w:top w:w="113" w:type="dxa"/>
              <w:left w:w="28" w:type="dxa"/>
              <w:bottom w:w="113" w:type="dxa"/>
              <w:right w:w="28" w:type="dxa"/>
            </w:tcMar>
          </w:tcPr>
          <w:p w14:paraId="534BB9FD" w14:textId="77777777" w:rsidR="004A7EDA" w:rsidRPr="00991083" w:rsidRDefault="004A7EDA" w:rsidP="00991083">
            <w:pPr>
              <w:pStyle w:val="TableHeading"/>
            </w:pPr>
            <w:r w:rsidRPr="00991083">
              <w:t>2019–20</w:t>
            </w:r>
          </w:p>
        </w:tc>
        <w:tc>
          <w:tcPr>
            <w:tcW w:w="1290" w:type="dxa"/>
            <w:tcBorders>
              <w:top w:val="single" w:sz="6" w:space="0" w:color="000056"/>
              <w:left w:val="single" w:sz="6" w:space="0" w:color="000056"/>
              <w:bottom w:val="single" w:sz="6" w:space="0" w:color="000056"/>
              <w:right w:val="single" w:sz="6" w:space="0" w:color="000056"/>
            </w:tcBorders>
            <w:tcMar>
              <w:top w:w="113" w:type="dxa"/>
              <w:left w:w="28" w:type="dxa"/>
              <w:bottom w:w="113" w:type="dxa"/>
              <w:right w:w="28" w:type="dxa"/>
            </w:tcMar>
          </w:tcPr>
          <w:p w14:paraId="1B2B0BEF" w14:textId="77777777" w:rsidR="004A7EDA" w:rsidRPr="00991083" w:rsidRDefault="004A7EDA" w:rsidP="00991083">
            <w:pPr>
              <w:pStyle w:val="TableHeading"/>
            </w:pPr>
            <w:r w:rsidRPr="00991083">
              <w:t>2020–21</w:t>
            </w:r>
          </w:p>
        </w:tc>
      </w:tr>
      <w:tr w:rsidR="004A7EDA" w:rsidRPr="004A7EDA" w14:paraId="4557BDE7" w14:textId="77777777" w:rsidTr="00233F5B">
        <w:trPr>
          <w:tblHeader/>
        </w:trPr>
        <w:tc>
          <w:tcPr>
            <w:tcW w:w="4479"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1E17FA3" w14:textId="0438C74F" w:rsidR="004A7EDA" w:rsidRPr="004A7EDA" w:rsidRDefault="004A7EDA" w:rsidP="00991083">
            <w:pPr>
              <w:pStyle w:val="TableCopy"/>
              <w:rPr>
                <w:lang w:val="en-GB"/>
              </w:rPr>
            </w:pPr>
            <w:r w:rsidRPr="004A7EDA">
              <w:rPr>
                <w:lang w:val="en-GB"/>
              </w:rPr>
              <w:t>Number of people employed in Victoria*</w:t>
            </w:r>
            <w:r w:rsidR="003B5919">
              <w:rPr>
                <w:lang w:val="en-GB"/>
              </w:rPr>
              <w:t xml:space="preserve"> </w:t>
            </w:r>
            <w:r w:rsidRPr="004A7EDA">
              <w:rPr>
                <w:lang w:val="en-GB"/>
              </w:rPr>
              <w:t>(number)</w:t>
            </w:r>
          </w:p>
        </w:tc>
        <w:tc>
          <w:tcPr>
            <w:tcW w:w="1290"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2EA4B42" w14:textId="77777777" w:rsidR="004A7EDA" w:rsidRPr="004A7EDA" w:rsidRDefault="004A7EDA" w:rsidP="00991083">
            <w:pPr>
              <w:pStyle w:val="TableCopy"/>
              <w:rPr>
                <w:lang w:val="en-GB"/>
              </w:rPr>
            </w:pPr>
            <w:r w:rsidRPr="004A7EDA">
              <w:rPr>
                <w:lang w:val="en-GB"/>
              </w:rPr>
              <w:t>3,242,600</w:t>
            </w:r>
          </w:p>
        </w:tc>
        <w:tc>
          <w:tcPr>
            <w:tcW w:w="1289"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15601EA" w14:textId="77777777" w:rsidR="004A7EDA" w:rsidRPr="004A7EDA" w:rsidRDefault="004A7EDA" w:rsidP="00991083">
            <w:pPr>
              <w:pStyle w:val="TableCopy"/>
              <w:rPr>
                <w:lang w:val="en-GB"/>
              </w:rPr>
            </w:pPr>
            <w:r w:rsidRPr="004A7EDA">
              <w:rPr>
                <w:lang w:val="en-GB"/>
              </w:rPr>
              <w:t>3,352,000</w:t>
            </w:r>
          </w:p>
        </w:tc>
        <w:tc>
          <w:tcPr>
            <w:tcW w:w="1290"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B943DCE" w14:textId="77777777" w:rsidR="004A7EDA" w:rsidRPr="004A7EDA" w:rsidRDefault="004A7EDA" w:rsidP="00991083">
            <w:pPr>
              <w:pStyle w:val="TableCopy"/>
              <w:rPr>
                <w:lang w:val="en-GB"/>
              </w:rPr>
            </w:pPr>
            <w:r w:rsidRPr="004A7EDA">
              <w:rPr>
                <w:lang w:val="en-GB"/>
              </w:rPr>
              <w:t>3,391,600</w:t>
            </w:r>
          </w:p>
        </w:tc>
        <w:tc>
          <w:tcPr>
            <w:tcW w:w="1290"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113F2D6" w14:textId="77777777" w:rsidR="004A7EDA" w:rsidRPr="004A7EDA" w:rsidRDefault="004A7EDA" w:rsidP="00991083">
            <w:pPr>
              <w:pStyle w:val="TableCopy"/>
              <w:rPr>
                <w:lang w:val="en-GB"/>
              </w:rPr>
            </w:pPr>
            <w:r w:rsidRPr="004A7EDA">
              <w:rPr>
                <w:lang w:val="en-GB"/>
              </w:rPr>
              <w:t>3,355,900</w:t>
            </w:r>
          </w:p>
        </w:tc>
      </w:tr>
      <w:tr w:rsidR="004A7EDA" w:rsidRPr="004A7EDA" w14:paraId="44BA8A6A" w14:textId="77777777" w:rsidTr="00233F5B">
        <w:trPr>
          <w:tblHeader/>
        </w:trPr>
        <w:tc>
          <w:tcPr>
            <w:tcW w:w="9638" w:type="dxa"/>
            <w:gridSpan w:val="5"/>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21D2FAB" w14:textId="77777777" w:rsidR="004A7EDA" w:rsidRPr="004A7EDA" w:rsidRDefault="004A7EDA" w:rsidP="00991083">
            <w:pPr>
              <w:pStyle w:val="TableCopy"/>
            </w:pPr>
            <w:r w:rsidRPr="004A7EDA">
              <w:t xml:space="preserve">*Source: FY </w:t>
            </w:r>
            <w:proofErr w:type="gramStart"/>
            <w:r w:rsidRPr="004A7EDA">
              <w:t>12 month</w:t>
            </w:r>
            <w:proofErr w:type="gramEnd"/>
            <w:r w:rsidRPr="004A7EDA">
              <w:t xml:space="preserve"> average – ABS 6202 Victoria Employed Total Persons (Seasonally adjusted)</w:t>
            </w:r>
          </w:p>
        </w:tc>
      </w:tr>
    </w:tbl>
    <w:p w14:paraId="5A8EC7BD" w14:textId="7D16FAFE" w:rsidR="004A7EDA" w:rsidRPr="004A7EDA" w:rsidRDefault="004A7EDA" w:rsidP="004A7EDA">
      <w:pPr>
        <w:pStyle w:val="Heading5"/>
        <w:rPr>
          <w:lang w:val="en-GB"/>
        </w:rPr>
      </w:pPr>
      <w:r w:rsidRPr="004A7EDA">
        <w:rPr>
          <w:lang w:val="en-GB"/>
        </w:rPr>
        <w:t>Figure 1: Number of people employed in Victoria</w:t>
      </w:r>
    </w:p>
    <w:p w14:paraId="32918583" w14:textId="547B619E" w:rsidR="004A7EDA" w:rsidRPr="004A7EDA" w:rsidRDefault="004A7EDA" w:rsidP="004A7EDA">
      <w:pPr>
        <w:rPr>
          <w:lang w:val="en-GB"/>
        </w:rPr>
      </w:pPr>
      <w:r>
        <w:rPr>
          <w:noProof/>
          <w:lang w:val="en-GB"/>
        </w:rPr>
        <w:drawing>
          <wp:inline distT="0" distB="0" distL="0" distR="0" wp14:anchorId="1C5CDB18" wp14:editId="25355E34">
            <wp:extent cx="2895600" cy="1959428"/>
            <wp:effectExtent l="0" t="0" r="0" b="0"/>
            <wp:docPr id="1" name="Picture 1" descr="Chart showing number of people employed in Victoria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howing number of people employed in Victoria 2017-2021"/>
                    <pic:cNvPicPr/>
                  </pic:nvPicPr>
                  <pic:blipFill rotWithShape="1">
                    <a:blip r:embed="rId11"/>
                    <a:srcRect b="21683"/>
                    <a:stretch/>
                  </pic:blipFill>
                  <pic:spPr bwMode="auto">
                    <a:xfrm>
                      <a:off x="0" y="0"/>
                      <a:ext cx="2895600" cy="1959428"/>
                    </a:xfrm>
                    <a:prstGeom prst="rect">
                      <a:avLst/>
                    </a:prstGeom>
                    <a:ln>
                      <a:noFill/>
                    </a:ln>
                    <a:extLst>
                      <a:ext uri="{53640926-AAD7-44D8-BBD7-CCE9431645EC}">
                        <a14:shadowObscured xmlns:a14="http://schemas.microsoft.com/office/drawing/2010/main"/>
                      </a:ext>
                    </a:extLst>
                  </pic:spPr>
                </pic:pic>
              </a:graphicData>
            </a:graphic>
          </wp:inline>
        </w:drawing>
      </w:r>
    </w:p>
    <w:p w14:paraId="13BBC2FE" w14:textId="77777777" w:rsidR="004A7EDA" w:rsidRPr="004A7EDA" w:rsidRDefault="004A7EDA" w:rsidP="004A7EDA">
      <w:pPr>
        <w:rPr>
          <w:lang w:val="en-GB"/>
        </w:rPr>
      </w:pPr>
      <w:r w:rsidRPr="004A7EDA">
        <w:rPr>
          <w:lang w:val="en-GB"/>
        </w:rPr>
        <w:t>In 2020–21, the department contributed to the government’s investment attraction and assistance function by facilitating private sector investment outcomes and monitoring the health of Victoria’s key companies and employers. The department assisted 39 firms to invest in industry growth projects that will result in capital expenditure of over $1.6 billion and create nearly 3000 new jobs in Victoria. These projects will stimulate growth across a wide range of industry sectors, including medical technologies and pharmaceuticals, food manufacturing, defence and other advanced manufacturing, as well professional services, logistics and distribution.</w:t>
      </w:r>
    </w:p>
    <w:p w14:paraId="5F9F2704" w14:textId="500BF053" w:rsidR="004A7EDA" w:rsidRPr="004A7EDA" w:rsidRDefault="004A7EDA" w:rsidP="004A7EDA">
      <w:pPr>
        <w:rPr>
          <w:lang w:val="en-GB"/>
        </w:rPr>
      </w:pPr>
      <w:r w:rsidRPr="004A7EDA">
        <w:rPr>
          <w:lang w:val="en-GB"/>
        </w:rPr>
        <w:t xml:space="preserve">In response to legislation strengthening the </w:t>
      </w:r>
      <w:r w:rsidRPr="004A7EDA">
        <w:rPr>
          <w:i/>
          <w:iCs/>
          <w:lang w:val="en-GB"/>
        </w:rPr>
        <w:t>Local Jobs First Act 2003</w:t>
      </w:r>
      <w:r w:rsidRPr="004A7EDA">
        <w:rPr>
          <w:lang w:val="en-GB"/>
        </w:rPr>
        <w:t xml:space="preserve">, passed in August 2018, the department implemented the Local Jobs First Policy. This policy comprises the Victorian Industry Participation Policy and the Major Project Skills Guarantee (MPSG). It supports Victorian businesses and workers by ensuring that small and medium sized enterprises (SMEs) are given a full and fair opportunity to compete for government contracts. </w:t>
      </w:r>
    </w:p>
    <w:p w14:paraId="77A8B032" w14:textId="77777777" w:rsidR="004A7EDA" w:rsidRPr="004A7EDA" w:rsidRDefault="004A7EDA" w:rsidP="004A7EDA">
      <w:pPr>
        <w:rPr>
          <w:lang w:val="en-GB"/>
        </w:rPr>
      </w:pPr>
      <w:r w:rsidRPr="004A7EDA">
        <w:rPr>
          <w:lang w:val="en-GB"/>
        </w:rPr>
        <w:t xml:space="preserve">The </w:t>
      </w:r>
      <w:r w:rsidRPr="004A7EDA">
        <w:rPr>
          <w:i/>
          <w:iCs/>
          <w:lang w:val="en-GB"/>
        </w:rPr>
        <w:t>Local Jobs First Act 2003</w:t>
      </w:r>
      <w:r w:rsidRPr="004A7EDA">
        <w:rPr>
          <w:lang w:val="en-GB"/>
        </w:rPr>
        <w:t xml:space="preserve"> also established a Local Jobs First Commissioner. The Commissioner provides advocacy, </w:t>
      </w:r>
      <w:proofErr w:type="gramStart"/>
      <w:r w:rsidRPr="004A7EDA">
        <w:rPr>
          <w:lang w:val="en-GB"/>
        </w:rPr>
        <w:t>facilitation</w:t>
      </w:r>
      <w:proofErr w:type="gramEnd"/>
      <w:r w:rsidRPr="004A7EDA">
        <w:rPr>
          <w:lang w:val="en-GB"/>
        </w:rPr>
        <w:t xml:space="preserve"> and compliance functions, and works closely with industry and government departments to create opportunities</w:t>
      </w:r>
      <w:r w:rsidRPr="004A7EDA">
        <w:rPr>
          <w:lang w:val="en-GB"/>
        </w:rPr>
        <w:br/>
        <w:t>for SMEs, workers, apprentices, trainees and cadets.</w:t>
      </w:r>
    </w:p>
    <w:p w14:paraId="1D7C7603" w14:textId="77777777" w:rsidR="004A7EDA" w:rsidRPr="004A7EDA" w:rsidRDefault="004A7EDA" w:rsidP="004A7EDA">
      <w:pPr>
        <w:rPr>
          <w:lang w:val="en-GB"/>
        </w:rPr>
      </w:pPr>
      <w:r w:rsidRPr="004A7EDA">
        <w:rPr>
          <w:lang w:val="en-GB"/>
        </w:rPr>
        <w:t xml:space="preserve">Since December 2014 to June 2021, the government has set local content requirements under the Local Jobs First Policy for 198 Strategic Projects, with a combined total value of over $97.6 billion and supporting 40,000 local jobs. Since its introduction, the MPSG has been applied to 185 projects worth over $60.6 billion. In the 12 months to March 2021, commitments to provide work for apprentices, </w:t>
      </w:r>
      <w:proofErr w:type="gramStart"/>
      <w:r w:rsidRPr="004A7EDA">
        <w:rPr>
          <w:lang w:val="en-GB"/>
        </w:rPr>
        <w:t>trainees</w:t>
      </w:r>
      <w:proofErr w:type="gramEnd"/>
      <w:r w:rsidRPr="004A7EDA">
        <w:rPr>
          <w:lang w:val="en-GB"/>
        </w:rPr>
        <w:t xml:space="preserve"> and cadets under the MPSG have grown by 1.74 million hours, while </w:t>
      </w:r>
      <w:r w:rsidRPr="004A7EDA">
        <w:rPr>
          <w:lang w:val="en-GB"/>
        </w:rPr>
        <w:lastRenderedPageBreak/>
        <w:t>1.83 million hours were worked in the period. The department has formal reporting obligations in relation to the Local Jobs First Policy which are available in Appendix 6.</w:t>
      </w:r>
    </w:p>
    <w:p w14:paraId="4AC810B4" w14:textId="0615EA94" w:rsidR="004A7EDA" w:rsidRPr="004A7EDA" w:rsidRDefault="004A7EDA" w:rsidP="004A7EDA">
      <w:pPr>
        <w:rPr>
          <w:lang w:val="en-GB"/>
        </w:rPr>
      </w:pPr>
      <w:r w:rsidRPr="004A7EDA">
        <w:rPr>
          <w:lang w:val="en-GB"/>
        </w:rPr>
        <w:t>In 2020–21, the department delivered the assessment of over 1200 overseas qualifications. This assists overseas-qualified professionals</w:t>
      </w:r>
      <w:r>
        <w:rPr>
          <w:lang w:val="en-GB"/>
        </w:rPr>
        <w:t xml:space="preserve"> </w:t>
      </w:r>
      <w:r w:rsidRPr="004A7EDA">
        <w:rPr>
          <w:lang w:val="en-GB"/>
        </w:rPr>
        <w:t>to gain employment in the Victorian labour market</w:t>
      </w:r>
      <w:r>
        <w:rPr>
          <w:lang w:val="en-GB"/>
        </w:rPr>
        <w:t xml:space="preserve"> </w:t>
      </w:r>
      <w:r w:rsidRPr="004A7EDA">
        <w:rPr>
          <w:lang w:val="en-GB"/>
        </w:rPr>
        <w:t>and fills skill gaps for employers via the Skilled</w:t>
      </w:r>
      <w:r w:rsidRPr="004A7EDA">
        <w:rPr>
          <w:lang w:val="en-GB"/>
        </w:rPr>
        <w:br/>
        <w:t>and Business Migration Program. The department also nominated 600 business and investor migrants, and over 1600 skilled migrants to live, work and undertake business activity in Victoria, which included more than 200 in regional Victoria. Of the 1600 nominated skilled migrants, nearly 1300 are medical professionals, and many are working in COVID-19 critical care and on the vaccine rollout.</w:t>
      </w:r>
    </w:p>
    <w:p w14:paraId="35745B5B" w14:textId="77777777" w:rsidR="004A7EDA" w:rsidRPr="004A7EDA" w:rsidRDefault="004A7EDA" w:rsidP="004A7EDA">
      <w:pPr>
        <w:pStyle w:val="Heading5"/>
        <w:rPr>
          <w:lang w:val="en-GB"/>
        </w:rPr>
      </w:pPr>
      <w:r w:rsidRPr="004A7EDA">
        <w:rPr>
          <w:lang w:val="en-GB"/>
        </w:rPr>
        <w:t>Jobs Victoria</w:t>
      </w:r>
    </w:p>
    <w:p w14:paraId="4BE189B9" w14:textId="3819335A" w:rsidR="004A7EDA" w:rsidRPr="004A7EDA" w:rsidRDefault="004A7EDA" w:rsidP="004A7EDA">
      <w:pPr>
        <w:rPr>
          <w:lang w:val="en-GB"/>
        </w:rPr>
      </w:pPr>
      <w:r w:rsidRPr="004A7EDA">
        <w:rPr>
          <w:lang w:val="en-GB"/>
        </w:rPr>
        <w:t>Since October 2016, Jobs Victoria has supported more than 16,100 Victorians into a job through its services, most of whom were long-term unemployed or at risk of long-term unemployment. The Victorian Government’s record investment in employment services in the 2020–21 budget is seeing Jobs Victoria expand and scale up capacity to support more people into work. Through Jobs Victoria,</w:t>
      </w:r>
      <w:r>
        <w:rPr>
          <w:lang w:val="en-GB"/>
        </w:rPr>
        <w:t xml:space="preserve"> </w:t>
      </w:r>
      <w:r w:rsidRPr="004A7EDA">
        <w:rPr>
          <w:lang w:val="en-GB"/>
        </w:rPr>
        <w:t>the government is delivering an integrated suite</w:t>
      </w:r>
      <w:r>
        <w:rPr>
          <w:lang w:val="en-GB"/>
        </w:rPr>
        <w:t xml:space="preserve"> </w:t>
      </w:r>
      <w:r w:rsidRPr="004A7EDA">
        <w:rPr>
          <w:lang w:val="en-GB"/>
        </w:rPr>
        <w:t>of effective and personalised employment services that operate in all parts of Victoria – a step change to address labour market challenges and support</w:t>
      </w:r>
      <w:r w:rsidRPr="004A7EDA">
        <w:rPr>
          <w:lang w:val="en-GB"/>
        </w:rPr>
        <w:br/>
        <w:t>a full social and economic recovery to the COVID-19 pandemic. </w:t>
      </w:r>
    </w:p>
    <w:p w14:paraId="4ED433A1" w14:textId="004D877D" w:rsidR="004A7EDA" w:rsidRPr="004A7EDA" w:rsidRDefault="004A7EDA" w:rsidP="004A7EDA">
      <w:pPr>
        <w:rPr>
          <w:lang w:val="en-GB"/>
        </w:rPr>
      </w:pPr>
      <w:r w:rsidRPr="004A7EDA">
        <w:rPr>
          <w:lang w:val="en-GB"/>
        </w:rPr>
        <w:t>In 2020–21, Jobs Victoria also played an important role in responding to impacts of the COVID-19 pandemic by delivering the $500 million Working for Victoria Fund. During the emergency response phase of the pandemic, </w:t>
      </w:r>
      <w:proofErr w:type="gramStart"/>
      <w:r w:rsidRPr="004A7EDA">
        <w:rPr>
          <w:lang w:val="en-GB"/>
        </w:rPr>
        <w:t>Working</w:t>
      </w:r>
      <w:proofErr w:type="gramEnd"/>
      <w:r w:rsidRPr="004A7EDA">
        <w:rPr>
          <w:lang w:val="en-GB"/>
        </w:rPr>
        <w:t> for Victoria partnered with local governments, community service organisations and businesses to create time-limited jobs to help unemployed people, including those who lost their jobs due</w:t>
      </w:r>
      <w:r>
        <w:rPr>
          <w:lang w:val="en-GB"/>
        </w:rPr>
        <w:t xml:space="preserve"> </w:t>
      </w:r>
      <w:r w:rsidRPr="004A7EDA">
        <w:rPr>
          <w:lang w:val="en-GB"/>
        </w:rPr>
        <w:t>to the pandemic. Working for Victoria placed</w:t>
      </w:r>
      <w:r>
        <w:rPr>
          <w:lang w:val="en-GB"/>
        </w:rPr>
        <w:t xml:space="preserve"> </w:t>
      </w:r>
      <w:r w:rsidRPr="004A7EDA">
        <w:rPr>
          <w:lang w:val="en-GB"/>
        </w:rPr>
        <w:t>more than 13,500 people into jobs, providing them with an income at a very challenging time while</w:t>
      </w:r>
      <w:r>
        <w:rPr>
          <w:lang w:val="en-GB"/>
        </w:rPr>
        <w:t xml:space="preserve"> </w:t>
      </w:r>
      <w:r w:rsidRPr="004A7EDA">
        <w:rPr>
          <w:lang w:val="en-GB"/>
        </w:rPr>
        <w:t>delivering a long-lasting community benefit. </w:t>
      </w:r>
    </w:p>
    <w:p w14:paraId="3DCD9136" w14:textId="77777777" w:rsidR="004A7EDA" w:rsidRPr="004A7EDA" w:rsidRDefault="004A7EDA" w:rsidP="004A7EDA">
      <w:pPr>
        <w:pStyle w:val="Heading4"/>
        <w:rPr>
          <w:lang w:val="en-GB"/>
        </w:rPr>
      </w:pPr>
      <w:r w:rsidRPr="004A7EDA">
        <w:rPr>
          <w:lang w:val="en-GB"/>
        </w:rPr>
        <w:t>Performance against output performance measures</w:t>
      </w:r>
    </w:p>
    <w:p w14:paraId="1248A9C6" w14:textId="321D6B71" w:rsidR="004A7EDA" w:rsidRPr="004A7EDA" w:rsidRDefault="004A7EDA" w:rsidP="004A7EDA">
      <w:pPr>
        <w:rPr>
          <w:lang w:val="en-GB"/>
        </w:rPr>
      </w:pPr>
      <w:r w:rsidRPr="004A7EDA">
        <w:rPr>
          <w:lang w:val="en-GB"/>
        </w:rPr>
        <w:t>Table 2 represents performance against the Jobs output. This output includes initiatives to support existing workers and businesses by connecting Victorians experiencing disadvantage to job opportunities, supporting Aboriginal economic inclusion, working with the community to create and support social enterprises;</w:t>
      </w:r>
      <w:r>
        <w:rPr>
          <w:lang w:val="en-GB"/>
        </w:rPr>
        <w:t xml:space="preserve"> </w:t>
      </w:r>
      <w:r w:rsidRPr="004A7EDA">
        <w:rPr>
          <w:lang w:val="en-GB"/>
        </w:rPr>
        <w:t>as well as attracting new investment and talent into Victoria to grow the economy and share the benefits</w:t>
      </w:r>
      <w:r>
        <w:rPr>
          <w:lang w:val="en-GB"/>
        </w:rPr>
        <w:t xml:space="preserve"> </w:t>
      </w:r>
      <w:r w:rsidRPr="004A7EDA">
        <w:rPr>
          <w:lang w:val="en-GB"/>
        </w:rPr>
        <w:t>of economic prosperity.</w:t>
      </w:r>
    </w:p>
    <w:p w14:paraId="724C691B" w14:textId="5B3B5B16" w:rsidR="00683453" w:rsidRPr="00683453" w:rsidRDefault="004A7EDA" w:rsidP="00991083">
      <w:pPr>
        <w:pStyle w:val="Heading5"/>
        <w:rPr>
          <w:lang w:val="en-GB"/>
        </w:rPr>
      </w:pPr>
      <w:r w:rsidRPr="004A7EDA">
        <w:rPr>
          <w:lang w:val="en-GB"/>
        </w:rPr>
        <w:t xml:space="preserve">Table 2: </w:t>
      </w:r>
      <w:r w:rsidRPr="004A7EDA">
        <w:t>Output</w:t>
      </w:r>
      <w:r w:rsidRPr="004A7EDA">
        <w:rPr>
          <w:lang w:val="en-GB"/>
        </w:rPr>
        <w:t xml:space="preserve"> – Jobs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9"/>
        <w:gridCol w:w="964"/>
        <w:gridCol w:w="963"/>
        <w:gridCol w:w="964"/>
        <w:gridCol w:w="1304"/>
        <w:gridCol w:w="964"/>
      </w:tblGrid>
      <w:tr w:rsidR="004A7EDA" w:rsidRPr="004A7EDA" w14:paraId="5A7A4FE2" w14:textId="77777777" w:rsidTr="000143B1">
        <w:trPr>
          <w:trHeight w:val="113"/>
          <w:tblHeader/>
        </w:trPr>
        <w:tc>
          <w:tcPr>
            <w:tcW w:w="4479" w:type="dxa"/>
            <w:shd w:val="clear" w:color="auto" w:fill="auto"/>
            <w:tcMar>
              <w:top w:w="113" w:type="dxa"/>
              <w:left w:w="28" w:type="dxa"/>
              <w:bottom w:w="113" w:type="dxa"/>
              <w:right w:w="28" w:type="dxa"/>
            </w:tcMar>
          </w:tcPr>
          <w:p w14:paraId="5BA8CD3A" w14:textId="77777777" w:rsidR="004A7EDA" w:rsidRPr="0061564D" w:rsidRDefault="004A7EDA" w:rsidP="00991083">
            <w:pPr>
              <w:pStyle w:val="TableHeading"/>
            </w:pPr>
            <w:r w:rsidRPr="0061564D">
              <w:t>Performance measures</w:t>
            </w:r>
          </w:p>
        </w:tc>
        <w:tc>
          <w:tcPr>
            <w:tcW w:w="964" w:type="dxa"/>
            <w:shd w:val="clear" w:color="auto" w:fill="auto"/>
            <w:tcMar>
              <w:top w:w="113" w:type="dxa"/>
              <w:left w:w="28" w:type="dxa"/>
              <w:bottom w:w="113" w:type="dxa"/>
              <w:right w:w="28" w:type="dxa"/>
            </w:tcMar>
          </w:tcPr>
          <w:p w14:paraId="75D60A80" w14:textId="77777777" w:rsidR="004A7EDA" w:rsidRPr="004A7EDA" w:rsidRDefault="004A7EDA" w:rsidP="00991083">
            <w:pPr>
              <w:pStyle w:val="TableHeading"/>
              <w:rPr>
                <w:lang w:val="en-GB"/>
              </w:rPr>
            </w:pPr>
            <w:r w:rsidRPr="004A7EDA">
              <w:rPr>
                <w:lang w:val="en-GB"/>
              </w:rPr>
              <w:t>Unit of measure</w:t>
            </w:r>
          </w:p>
        </w:tc>
        <w:tc>
          <w:tcPr>
            <w:tcW w:w="963" w:type="dxa"/>
            <w:shd w:val="clear" w:color="auto" w:fill="auto"/>
            <w:tcMar>
              <w:top w:w="113" w:type="dxa"/>
              <w:left w:w="28" w:type="dxa"/>
              <w:bottom w:w="113" w:type="dxa"/>
              <w:right w:w="28" w:type="dxa"/>
            </w:tcMar>
          </w:tcPr>
          <w:p w14:paraId="2F5DC7F0" w14:textId="77777777" w:rsidR="004A7EDA" w:rsidRPr="004A7EDA" w:rsidRDefault="004A7EDA" w:rsidP="00991083">
            <w:pPr>
              <w:pStyle w:val="TableHeading"/>
              <w:rPr>
                <w:lang w:val="en-GB"/>
              </w:rPr>
            </w:pPr>
            <w:r w:rsidRPr="004A7EDA">
              <w:rPr>
                <w:lang w:val="en-GB"/>
              </w:rPr>
              <w:t>2020–21 actual</w:t>
            </w:r>
          </w:p>
        </w:tc>
        <w:tc>
          <w:tcPr>
            <w:tcW w:w="964" w:type="dxa"/>
            <w:shd w:val="clear" w:color="auto" w:fill="auto"/>
            <w:tcMar>
              <w:top w:w="113" w:type="dxa"/>
              <w:left w:w="28" w:type="dxa"/>
              <w:bottom w:w="113" w:type="dxa"/>
              <w:right w:w="28" w:type="dxa"/>
            </w:tcMar>
          </w:tcPr>
          <w:p w14:paraId="3BCC0A58" w14:textId="77777777" w:rsidR="004A7EDA" w:rsidRPr="004A7EDA" w:rsidRDefault="004A7EDA" w:rsidP="00991083">
            <w:pPr>
              <w:pStyle w:val="TableHeading"/>
              <w:rPr>
                <w:lang w:val="en-GB"/>
              </w:rPr>
            </w:pPr>
            <w:r w:rsidRPr="004A7EDA">
              <w:rPr>
                <w:lang w:val="en-GB"/>
              </w:rPr>
              <w:t>2020–21 target</w:t>
            </w:r>
          </w:p>
        </w:tc>
        <w:tc>
          <w:tcPr>
            <w:tcW w:w="1304" w:type="dxa"/>
            <w:shd w:val="clear" w:color="auto" w:fill="auto"/>
            <w:tcMar>
              <w:top w:w="113" w:type="dxa"/>
              <w:left w:w="28" w:type="dxa"/>
              <w:bottom w:w="113" w:type="dxa"/>
              <w:right w:w="28" w:type="dxa"/>
            </w:tcMar>
          </w:tcPr>
          <w:p w14:paraId="1DB5A8BD" w14:textId="77777777" w:rsidR="004A7EDA" w:rsidRPr="004A7EDA" w:rsidRDefault="004A7EDA" w:rsidP="00991083">
            <w:pPr>
              <w:pStyle w:val="TableHeading"/>
              <w:rPr>
                <w:lang w:val="en-GB"/>
              </w:rPr>
            </w:pPr>
            <w:r w:rsidRPr="004A7EDA">
              <w:rPr>
                <w:lang w:val="en-GB"/>
              </w:rPr>
              <w:t>Performance variation (%)</w:t>
            </w:r>
          </w:p>
        </w:tc>
        <w:tc>
          <w:tcPr>
            <w:tcW w:w="964" w:type="dxa"/>
            <w:shd w:val="clear" w:color="auto" w:fill="auto"/>
            <w:tcMar>
              <w:top w:w="113" w:type="dxa"/>
              <w:left w:w="28" w:type="dxa"/>
              <w:bottom w:w="113" w:type="dxa"/>
              <w:right w:w="28" w:type="dxa"/>
            </w:tcMar>
          </w:tcPr>
          <w:p w14:paraId="5D171B2C" w14:textId="77777777" w:rsidR="004A7EDA" w:rsidRPr="004A7EDA" w:rsidRDefault="004A7EDA" w:rsidP="00991083">
            <w:pPr>
              <w:pStyle w:val="TableHeading"/>
              <w:rPr>
                <w:lang w:val="en-GB"/>
              </w:rPr>
            </w:pPr>
            <w:r w:rsidRPr="004A7EDA">
              <w:rPr>
                <w:lang w:val="en-GB"/>
              </w:rPr>
              <w:t>Result</w:t>
            </w:r>
          </w:p>
        </w:tc>
      </w:tr>
      <w:tr w:rsidR="004A7EDA" w:rsidRPr="004A7EDA" w14:paraId="23C76143" w14:textId="77777777" w:rsidTr="000143B1">
        <w:trPr>
          <w:trHeight w:val="113"/>
        </w:trPr>
        <w:tc>
          <w:tcPr>
            <w:tcW w:w="4479" w:type="dxa"/>
            <w:shd w:val="clear" w:color="auto" w:fill="auto"/>
            <w:tcMar>
              <w:top w:w="113" w:type="dxa"/>
              <w:left w:w="28" w:type="dxa"/>
              <w:bottom w:w="113" w:type="dxa"/>
              <w:right w:w="28" w:type="dxa"/>
            </w:tcMar>
          </w:tcPr>
          <w:p w14:paraId="21577655" w14:textId="77777777" w:rsidR="004A7EDA" w:rsidRPr="0061564D" w:rsidRDefault="004A7EDA" w:rsidP="00991083">
            <w:pPr>
              <w:pStyle w:val="TableCopy"/>
            </w:pPr>
            <w:r w:rsidRPr="0061564D">
              <w:t>Quantity</w:t>
            </w:r>
          </w:p>
        </w:tc>
        <w:tc>
          <w:tcPr>
            <w:tcW w:w="964" w:type="dxa"/>
            <w:shd w:val="clear" w:color="auto" w:fill="auto"/>
            <w:tcMar>
              <w:top w:w="113" w:type="dxa"/>
              <w:left w:w="28" w:type="dxa"/>
              <w:bottom w:w="113" w:type="dxa"/>
              <w:right w:w="28" w:type="dxa"/>
            </w:tcMar>
          </w:tcPr>
          <w:p w14:paraId="33635D91" w14:textId="77777777" w:rsidR="004A7EDA" w:rsidRPr="004A7EDA" w:rsidRDefault="004A7EDA" w:rsidP="00991083">
            <w:pPr>
              <w:pStyle w:val="TableCopy"/>
              <w:rPr>
                <w:lang w:val="en-GB"/>
              </w:rPr>
            </w:pPr>
            <w:r w:rsidRPr="004A7EDA">
              <w:rPr>
                <w:lang w:val="en-GB"/>
              </w:rPr>
              <w:t> </w:t>
            </w:r>
          </w:p>
        </w:tc>
        <w:tc>
          <w:tcPr>
            <w:tcW w:w="963" w:type="dxa"/>
            <w:shd w:val="clear" w:color="auto" w:fill="auto"/>
            <w:tcMar>
              <w:top w:w="113" w:type="dxa"/>
              <w:left w:w="28" w:type="dxa"/>
              <w:bottom w:w="113" w:type="dxa"/>
              <w:right w:w="28" w:type="dxa"/>
            </w:tcMar>
          </w:tcPr>
          <w:p w14:paraId="0609507B" w14:textId="77777777" w:rsidR="004A7EDA" w:rsidRPr="004A7EDA" w:rsidRDefault="004A7EDA" w:rsidP="00991083">
            <w:pPr>
              <w:pStyle w:val="TableCopy"/>
              <w:rPr>
                <w:lang w:val="en-GB"/>
              </w:rPr>
            </w:pPr>
            <w:r w:rsidRPr="004A7EDA">
              <w:rPr>
                <w:lang w:val="en-GB"/>
              </w:rPr>
              <w:t> </w:t>
            </w:r>
          </w:p>
        </w:tc>
        <w:tc>
          <w:tcPr>
            <w:tcW w:w="964" w:type="dxa"/>
            <w:shd w:val="clear" w:color="auto" w:fill="auto"/>
            <w:tcMar>
              <w:top w:w="113" w:type="dxa"/>
              <w:left w:w="28" w:type="dxa"/>
              <w:bottom w:w="113" w:type="dxa"/>
              <w:right w:w="28" w:type="dxa"/>
            </w:tcMar>
          </w:tcPr>
          <w:p w14:paraId="2E613921" w14:textId="77777777" w:rsidR="004A7EDA" w:rsidRPr="004A7EDA" w:rsidRDefault="004A7EDA" w:rsidP="00991083">
            <w:pPr>
              <w:pStyle w:val="TableCopy"/>
              <w:rPr>
                <w:lang w:val="en-GB"/>
              </w:rPr>
            </w:pPr>
            <w:r w:rsidRPr="004A7EDA">
              <w:rPr>
                <w:lang w:val="en-GB"/>
              </w:rPr>
              <w:t> </w:t>
            </w:r>
          </w:p>
        </w:tc>
        <w:tc>
          <w:tcPr>
            <w:tcW w:w="1304" w:type="dxa"/>
            <w:shd w:val="clear" w:color="auto" w:fill="auto"/>
            <w:tcMar>
              <w:top w:w="113" w:type="dxa"/>
              <w:left w:w="28" w:type="dxa"/>
              <w:bottom w:w="113" w:type="dxa"/>
              <w:right w:w="28" w:type="dxa"/>
            </w:tcMar>
          </w:tcPr>
          <w:p w14:paraId="62D9748A" w14:textId="77777777" w:rsidR="004A7EDA" w:rsidRPr="004A7EDA" w:rsidRDefault="004A7EDA" w:rsidP="00991083">
            <w:pPr>
              <w:pStyle w:val="TableCopy"/>
              <w:rPr>
                <w:lang w:val="en-GB"/>
              </w:rPr>
            </w:pPr>
            <w:r w:rsidRPr="004A7EDA">
              <w:rPr>
                <w:lang w:val="en-GB"/>
              </w:rPr>
              <w:t> </w:t>
            </w:r>
          </w:p>
        </w:tc>
        <w:tc>
          <w:tcPr>
            <w:tcW w:w="964" w:type="dxa"/>
            <w:shd w:val="clear" w:color="auto" w:fill="auto"/>
            <w:tcMar>
              <w:top w:w="113" w:type="dxa"/>
              <w:left w:w="28" w:type="dxa"/>
              <w:bottom w:w="113" w:type="dxa"/>
              <w:right w:w="28" w:type="dxa"/>
            </w:tcMar>
          </w:tcPr>
          <w:p w14:paraId="4B58ABE6" w14:textId="77777777" w:rsidR="004A7EDA" w:rsidRPr="004A7EDA" w:rsidRDefault="004A7EDA" w:rsidP="00991083">
            <w:pPr>
              <w:pStyle w:val="TableCopy"/>
              <w:rPr>
                <w:lang w:val="en-GB"/>
              </w:rPr>
            </w:pPr>
            <w:r w:rsidRPr="004A7EDA">
              <w:rPr>
                <w:lang w:val="en-GB"/>
              </w:rPr>
              <w:t> </w:t>
            </w:r>
          </w:p>
        </w:tc>
      </w:tr>
      <w:tr w:rsidR="004A7EDA" w:rsidRPr="004A7EDA" w14:paraId="00B5BEA2" w14:textId="77777777" w:rsidTr="000143B1">
        <w:trPr>
          <w:trHeight w:val="113"/>
        </w:trPr>
        <w:tc>
          <w:tcPr>
            <w:tcW w:w="4479" w:type="dxa"/>
            <w:shd w:val="clear" w:color="auto" w:fill="auto"/>
            <w:tcMar>
              <w:top w:w="113" w:type="dxa"/>
              <w:left w:w="28" w:type="dxa"/>
              <w:bottom w:w="113" w:type="dxa"/>
              <w:right w:w="28" w:type="dxa"/>
            </w:tcMar>
          </w:tcPr>
          <w:p w14:paraId="32EAFE7D" w14:textId="77777777" w:rsidR="004A7EDA" w:rsidRPr="0061564D" w:rsidRDefault="004A7EDA" w:rsidP="00991083">
            <w:pPr>
              <w:pStyle w:val="TableCopy"/>
            </w:pPr>
            <w:r w:rsidRPr="0061564D">
              <w:t>Disadvantaged jobseekers who achieve sustainable employment (minimum number of 26 weeks)</w:t>
            </w:r>
          </w:p>
        </w:tc>
        <w:tc>
          <w:tcPr>
            <w:tcW w:w="964" w:type="dxa"/>
            <w:shd w:val="clear" w:color="auto" w:fill="auto"/>
            <w:tcMar>
              <w:top w:w="113" w:type="dxa"/>
              <w:left w:w="28" w:type="dxa"/>
              <w:bottom w:w="113" w:type="dxa"/>
              <w:right w:w="28" w:type="dxa"/>
            </w:tcMar>
          </w:tcPr>
          <w:p w14:paraId="7C31CF42"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1DE90C9E" w14:textId="77777777" w:rsidR="004A7EDA" w:rsidRPr="004A7EDA" w:rsidRDefault="004A7EDA" w:rsidP="00991083">
            <w:pPr>
              <w:pStyle w:val="TableCopy"/>
              <w:rPr>
                <w:lang w:val="en-GB"/>
              </w:rPr>
            </w:pPr>
            <w:r w:rsidRPr="004A7EDA">
              <w:rPr>
                <w:lang w:val="en-GB"/>
              </w:rPr>
              <w:t>8,314</w:t>
            </w:r>
          </w:p>
        </w:tc>
        <w:tc>
          <w:tcPr>
            <w:tcW w:w="964" w:type="dxa"/>
            <w:shd w:val="clear" w:color="auto" w:fill="auto"/>
            <w:tcMar>
              <w:top w:w="113" w:type="dxa"/>
              <w:left w:w="28" w:type="dxa"/>
              <w:bottom w:w="113" w:type="dxa"/>
              <w:right w:w="28" w:type="dxa"/>
            </w:tcMar>
          </w:tcPr>
          <w:p w14:paraId="1095C3C5" w14:textId="77777777" w:rsidR="004A7EDA" w:rsidRPr="004A7EDA" w:rsidRDefault="004A7EDA" w:rsidP="00991083">
            <w:pPr>
              <w:pStyle w:val="TableCopy"/>
              <w:rPr>
                <w:lang w:val="en-GB"/>
              </w:rPr>
            </w:pPr>
            <w:r w:rsidRPr="004A7EDA">
              <w:rPr>
                <w:lang w:val="en-GB"/>
              </w:rPr>
              <w:t>6,069</w:t>
            </w:r>
          </w:p>
        </w:tc>
        <w:tc>
          <w:tcPr>
            <w:tcW w:w="1304" w:type="dxa"/>
            <w:shd w:val="clear" w:color="auto" w:fill="auto"/>
            <w:tcMar>
              <w:top w:w="113" w:type="dxa"/>
              <w:left w:w="28" w:type="dxa"/>
              <w:bottom w:w="113" w:type="dxa"/>
              <w:right w:w="28" w:type="dxa"/>
            </w:tcMar>
          </w:tcPr>
          <w:p w14:paraId="5C842326" w14:textId="77777777" w:rsidR="004A7EDA" w:rsidRPr="004A7EDA" w:rsidRDefault="004A7EDA" w:rsidP="00991083">
            <w:pPr>
              <w:pStyle w:val="TableCopy"/>
              <w:rPr>
                <w:lang w:val="en-GB"/>
              </w:rPr>
            </w:pPr>
            <w:r w:rsidRPr="004A7EDA">
              <w:rPr>
                <w:lang w:val="en-GB"/>
              </w:rPr>
              <w:t>37.0%</w:t>
            </w:r>
          </w:p>
        </w:tc>
        <w:tc>
          <w:tcPr>
            <w:tcW w:w="964" w:type="dxa"/>
            <w:shd w:val="clear" w:color="auto" w:fill="auto"/>
            <w:tcMar>
              <w:top w:w="113" w:type="dxa"/>
              <w:left w:w="28" w:type="dxa"/>
              <w:bottom w:w="113" w:type="dxa"/>
              <w:right w:w="28" w:type="dxa"/>
            </w:tcMar>
          </w:tcPr>
          <w:p w14:paraId="544546B0" w14:textId="7C05728B" w:rsidR="004A7EDA" w:rsidRPr="004A7EDA" w:rsidRDefault="004A7EDA" w:rsidP="00991083">
            <w:pPr>
              <w:pStyle w:val="TableCopy"/>
              <w:rPr>
                <w:lang w:val="en-GB"/>
              </w:rPr>
            </w:pPr>
            <w:r>
              <w:rPr>
                <w:lang w:val="en-GB"/>
              </w:rPr>
              <w:t>*</w:t>
            </w:r>
          </w:p>
        </w:tc>
      </w:tr>
      <w:tr w:rsidR="004A7EDA" w:rsidRPr="004A7EDA" w14:paraId="73B05BC5" w14:textId="77777777" w:rsidTr="000143B1">
        <w:trPr>
          <w:trHeight w:val="113"/>
        </w:trPr>
        <w:tc>
          <w:tcPr>
            <w:tcW w:w="9638" w:type="dxa"/>
            <w:gridSpan w:val="6"/>
            <w:shd w:val="clear" w:color="auto" w:fill="auto"/>
            <w:tcMar>
              <w:top w:w="113" w:type="dxa"/>
              <w:left w:w="113" w:type="dxa"/>
              <w:bottom w:w="113" w:type="dxa"/>
              <w:right w:w="113" w:type="dxa"/>
            </w:tcMar>
          </w:tcPr>
          <w:p w14:paraId="575F0785" w14:textId="0C5CF131" w:rsidR="004A7EDA" w:rsidRPr="0061564D" w:rsidRDefault="004A7EDA" w:rsidP="00991083">
            <w:pPr>
              <w:pStyle w:val="TableCopy"/>
            </w:pPr>
            <w:r w:rsidRPr="0061564D">
              <w:t>Higher result because the Jobs Victoria Employment Network and the Working for Victoria initiative achieved strong results</w:t>
            </w:r>
            <w:r w:rsidR="002841E9" w:rsidRPr="0061564D">
              <w:t xml:space="preserve"> </w:t>
            </w:r>
            <w:r w:rsidRPr="0061564D">
              <w:t>and supported more people into jobs.</w:t>
            </w:r>
          </w:p>
        </w:tc>
      </w:tr>
      <w:tr w:rsidR="004A7EDA" w:rsidRPr="004A7EDA" w14:paraId="154E634B" w14:textId="77777777" w:rsidTr="000143B1">
        <w:trPr>
          <w:trHeight w:val="113"/>
        </w:trPr>
        <w:tc>
          <w:tcPr>
            <w:tcW w:w="4479" w:type="dxa"/>
            <w:shd w:val="clear" w:color="auto" w:fill="auto"/>
            <w:tcMar>
              <w:top w:w="113" w:type="dxa"/>
              <w:left w:w="28" w:type="dxa"/>
              <w:bottom w:w="113" w:type="dxa"/>
              <w:right w:w="28" w:type="dxa"/>
            </w:tcMar>
          </w:tcPr>
          <w:p w14:paraId="4FBD93CB" w14:textId="77777777" w:rsidR="004A7EDA" w:rsidRPr="0061564D" w:rsidRDefault="004A7EDA" w:rsidP="00991083">
            <w:pPr>
              <w:pStyle w:val="TableCopy"/>
            </w:pPr>
            <w:r w:rsidRPr="0061564D">
              <w:t>Government Youth Employment Scheme traineeships commenced</w:t>
            </w:r>
          </w:p>
        </w:tc>
        <w:tc>
          <w:tcPr>
            <w:tcW w:w="964" w:type="dxa"/>
            <w:shd w:val="clear" w:color="auto" w:fill="auto"/>
            <w:tcMar>
              <w:top w:w="113" w:type="dxa"/>
              <w:left w:w="28" w:type="dxa"/>
              <w:bottom w:w="113" w:type="dxa"/>
              <w:right w:w="28" w:type="dxa"/>
            </w:tcMar>
          </w:tcPr>
          <w:p w14:paraId="36DBBD12"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26F12BB7" w14:textId="77777777" w:rsidR="004A7EDA" w:rsidRPr="004A7EDA" w:rsidRDefault="004A7EDA" w:rsidP="00991083">
            <w:pPr>
              <w:pStyle w:val="TableCopy"/>
              <w:rPr>
                <w:lang w:val="en-GB"/>
              </w:rPr>
            </w:pPr>
            <w:r w:rsidRPr="004A7EDA">
              <w:rPr>
                <w:lang w:val="en-GB"/>
              </w:rPr>
              <w:t>244</w:t>
            </w:r>
          </w:p>
        </w:tc>
        <w:tc>
          <w:tcPr>
            <w:tcW w:w="964" w:type="dxa"/>
            <w:shd w:val="clear" w:color="auto" w:fill="auto"/>
            <w:tcMar>
              <w:top w:w="113" w:type="dxa"/>
              <w:left w:w="28" w:type="dxa"/>
              <w:bottom w:w="113" w:type="dxa"/>
              <w:right w:w="28" w:type="dxa"/>
            </w:tcMar>
          </w:tcPr>
          <w:p w14:paraId="0D26CC99" w14:textId="77777777" w:rsidR="004A7EDA" w:rsidRPr="004A7EDA" w:rsidRDefault="004A7EDA" w:rsidP="00991083">
            <w:pPr>
              <w:pStyle w:val="TableCopy"/>
              <w:rPr>
                <w:lang w:val="en-GB"/>
              </w:rPr>
            </w:pPr>
            <w:r w:rsidRPr="004A7EDA">
              <w:rPr>
                <w:lang w:val="en-GB"/>
              </w:rPr>
              <w:t>280</w:t>
            </w:r>
          </w:p>
        </w:tc>
        <w:tc>
          <w:tcPr>
            <w:tcW w:w="1304" w:type="dxa"/>
            <w:shd w:val="clear" w:color="auto" w:fill="auto"/>
            <w:tcMar>
              <w:top w:w="113" w:type="dxa"/>
              <w:left w:w="28" w:type="dxa"/>
              <w:bottom w:w="113" w:type="dxa"/>
              <w:right w:w="28" w:type="dxa"/>
            </w:tcMar>
          </w:tcPr>
          <w:p w14:paraId="2483B724" w14:textId="77777777" w:rsidR="004A7EDA" w:rsidRPr="004A7EDA" w:rsidRDefault="004A7EDA" w:rsidP="00991083">
            <w:pPr>
              <w:pStyle w:val="TableCopy"/>
              <w:rPr>
                <w:lang w:val="en-GB"/>
              </w:rPr>
            </w:pPr>
            <w:r w:rsidRPr="004A7EDA">
              <w:rPr>
                <w:lang w:val="en-GB"/>
              </w:rPr>
              <w:t>-12.9%</w:t>
            </w:r>
          </w:p>
        </w:tc>
        <w:tc>
          <w:tcPr>
            <w:tcW w:w="964" w:type="dxa"/>
            <w:shd w:val="clear" w:color="auto" w:fill="auto"/>
            <w:tcMar>
              <w:top w:w="113" w:type="dxa"/>
              <w:left w:w="28" w:type="dxa"/>
              <w:bottom w:w="113" w:type="dxa"/>
              <w:right w:w="28" w:type="dxa"/>
            </w:tcMar>
          </w:tcPr>
          <w:p w14:paraId="6C15A456" w14:textId="53744183" w:rsidR="004A7EDA" w:rsidRPr="004A7EDA" w:rsidRDefault="0082401B" w:rsidP="00991083">
            <w:pPr>
              <w:pStyle w:val="TableCopy"/>
              <w:rPr>
                <w:lang w:val="en-GB"/>
              </w:rPr>
            </w:pPr>
            <w:r>
              <w:rPr>
                <w:lang w:val="en-GB"/>
              </w:rPr>
              <w:t>#</w:t>
            </w:r>
          </w:p>
        </w:tc>
      </w:tr>
      <w:tr w:rsidR="004A7EDA" w:rsidRPr="004A7EDA" w14:paraId="76B5FA88" w14:textId="77777777" w:rsidTr="000143B1">
        <w:trPr>
          <w:trHeight w:val="113"/>
        </w:trPr>
        <w:tc>
          <w:tcPr>
            <w:tcW w:w="9638" w:type="dxa"/>
            <w:gridSpan w:val="6"/>
            <w:shd w:val="clear" w:color="auto" w:fill="auto"/>
            <w:tcMar>
              <w:top w:w="113" w:type="dxa"/>
              <w:left w:w="113" w:type="dxa"/>
              <w:bottom w:w="113" w:type="dxa"/>
              <w:right w:w="113" w:type="dxa"/>
            </w:tcMar>
          </w:tcPr>
          <w:p w14:paraId="7B43E505" w14:textId="77777777" w:rsidR="004A7EDA" w:rsidRPr="0061564D" w:rsidRDefault="004A7EDA" w:rsidP="00991083">
            <w:pPr>
              <w:pStyle w:val="TableCopy"/>
            </w:pPr>
            <w:r w:rsidRPr="0061564D">
              <w:t xml:space="preserve">Lower result due to impacts of COVID-19 on the program. Young people were also supported into jobs through Working for Victoria Youth Employment Program. </w:t>
            </w:r>
          </w:p>
        </w:tc>
      </w:tr>
      <w:tr w:rsidR="004A7EDA" w:rsidRPr="004A7EDA" w14:paraId="0DACAAC0" w14:textId="77777777" w:rsidTr="000143B1">
        <w:trPr>
          <w:trHeight w:val="113"/>
        </w:trPr>
        <w:tc>
          <w:tcPr>
            <w:tcW w:w="4479" w:type="dxa"/>
            <w:shd w:val="clear" w:color="auto" w:fill="auto"/>
            <w:tcMar>
              <w:top w:w="113" w:type="dxa"/>
              <w:left w:w="28" w:type="dxa"/>
              <w:bottom w:w="113" w:type="dxa"/>
              <w:right w:w="28" w:type="dxa"/>
            </w:tcMar>
          </w:tcPr>
          <w:p w14:paraId="3E592E37" w14:textId="77777777" w:rsidR="004A7EDA" w:rsidRPr="0061564D" w:rsidRDefault="004A7EDA" w:rsidP="00991083">
            <w:pPr>
              <w:pStyle w:val="TableCopy"/>
            </w:pPr>
            <w:r w:rsidRPr="0061564D">
              <w:t>Jobseekers supported into work who sustain employment for at least 26 weeks</w:t>
            </w:r>
          </w:p>
        </w:tc>
        <w:tc>
          <w:tcPr>
            <w:tcW w:w="964" w:type="dxa"/>
            <w:shd w:val="clear" w:color="auto" w:fill="auto"/>
            <w:tcMar>
              <w:top w:w="113" w:type="dxa"/>
              <w:left w:w="28" w:type="dxa"/>
              <w:bottom w:w="113" w:type="dxa"/>
              <w:right w:w="28" w:type="dxa"/>
            </w:tcMar>
          </w:tcPr>
          <w:p w14:paraId="7E4EC2BA"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2E91561A" w14:textId="77777777" w:rsidR="004A7EDA" w:rsidRPr="004A7EDA" w:rsidRDefault="004A7EDA" w:rsidP="00991083">
            <w:pPr>
              <w:pStyle w:val="TableCopy"/>
              <w:rPr>
                <w:lang w:val="en-GB"/>
              </w:rPr>
            </w:pPr>
            <w:r w:rsidRPr="004A7EDA">
              <w:rPr>
                <w:lang w:val="en-GB"/>
              </w:rPr>
              <w:t>50</w:t>
            </w:r>
          </w:p>
        </w:tc>
        <w:tc>
          <w:tcPr>
            <w:tcW w:w="964" w:type="dxa"/>
            <w:shd w:val="clear" w:color="auto" w:fill="auto"/>
            <w:tcMar>
              <w:top w:w="113" w:type="dxa"/>
              <w:left w:w="28" w:type="dxa"/>
              <w:bottom w:w="113" w:type="dxa"/>
              <w:right w:w="28" w:type="dxa"/>
            </w:tcMar>
          </w:tcPr>
          <w:p w14:paraId="18A0F917" w14:textId="77777777" w:rsidR="004A7EDA" w:rsidRPr="004A7EDA" w:rsidRDefault="004A7EDA" w:rsidP="00991083">
            <w:pPr>
              <w:pStyle w:val="TableCopy"/>
              <w:rPr>
                <w:lang w:val="en-GB"/>
              </w:rPr>
            </w:pPr>
            <w:r w:rsidRPr="004A7EDA">
              <w:rPr>
                <w:lang w:val="en-GB"/>
              </w:rPr>
              <w:t>45</w:t>
            </w:r>
          </w:p>
        </w:tc>
        <w:tc>
          <w:tcPr>
            <w:tcW w:w="1304" w:type="dxa"/>
            <w:shd w:val="clear" w:color="auto" w:fill="auto"/>
            <w:tcMar>
              <w:top w:w="113" w:type="dxa"/>
              <w:left w:w="28" w:type="dxa"/>
              <w:bottom w:w="113" w:type="dxa"/>
              <w:right w:w="28" w:type="dxa"/>
            </w:tcMar>
          </w:tcPr>
          <w:p w14:paraId="7280B26E" w14:textId="77777777" w:rsidR="004A7EDA" w:rsidRPr="004A7EDA" w:rsidRDefault="004A7EDA" w:rsidP="00991083">
            <w:pPr>
              <w:pStyle w:val="TableCopy"/>
              <w:rPr>
                <w:lang w:val="en-GB"/>
              </w:rPr>
            </w:pPr>
            <w:r w:rsidRPr="004A7EDA">
              <w:rPr>
                <w:lang w:val="en-GB"/>
              </w:rPr>
              <w:t>11.1%</w:t>
            </w:r>
          </w:p>
        </w:tc>
        <w:tc>
          <w:tcPr>
            <w:tcW w:w="964" w:type="dxa"/>
            <w:shd w:val="clear" w:color="auto" w:fill="auto"/>
            <w:tcMar>
              <w:top w:w="113" w:type="dxa"/>
              <w:left w:w="28" w:type="dxa"/>
              <w:bottom w:w="113" w:type="dxa"/>
              <w:right w:w="28" w:type="dxa"/>
            </w:tcMar>
          </w:tcPr>
          <w:p w14:paraId="4E4A2650" w14:textId="3B797490" w:rsidR="004A7EDA" w:rsidRPr="004A7EDA" w:rsidRDefault="004A7EDA" w:rsidP="00991083">
            <w:pPr>
              <w:pStyle w:val="TableCopy"/>
              <w:rPr>
                <w:lang w:val="en-GB"/>
              </w:rPr>
            </w:pPr>
            <w:r>
              <w:rPr>
                <w:lang w:val="en-GB"/>
              </w:rPr>
              <w:t>*</w:t>
            </w:r>
          </w:p>
        </w:tc>
      </w:tr>
      <w:tr w:rsidR="004A7EDA" w:rsidRPr="004A7EDA" w14:paraId="2CEDD4B8" w14:textId="77777777" w:rsidTr="000143B1">
        <w:trPr>
          <w:trHeight w:val="113"/>
        </w:trPr>
        <w:tc>
          <w:tcPr>
            <w:tcW w:w="9638" w:type="dxa"/>
            <w:gridSpan w:val="6"/>
            <w:shd w:val="clear" w:color="auto" w:fill="auto"/>
            <w:tcMar>
              <w:top w:w="113" w:type="dxa"/>
              <w:left w:w="113" w:type="dxa"/>
              <w:bottom w:w="113" w:type="dxa"/>
              <w:right w:w="113" w:type="dxa"/>
            </w:tcMar>
          </w:tcPr>
          <w:p w14:paraId="341F3981" w14:textId="77777777" w:rsidR="004A7EDA" w:rsidRPr="0061564D" w:rsidRDefault="004A7EDA" w:rsidP="00991083">
            <w:pPr>
              <w:pStyle w:val="TableCopy"/>
            </w:pPr>
            <w:r w:rsidRPr="0061564D">
              <w:t>Higher result reflects the strong performance of the Jobs Victoria Employment Network</w:t>
            </w:r>
          </w:p>
        </w:tc>
      </w:tr>
      <w:tr w:rsidR="004A7EDA" w:rsidRPr="004A7EDA" w14:paraId="7C794E8C" w14:textId="77777777" w:rsidTr="000143B1">
        <w:trPr>
          <w:trHeight w:val="113"/>
        </w:trPr>
        <w:tc>
          <w:tcPr>
            <w:tcW w:w="4479" w:type="dxa"/>
            <w:shd w:val="clear" w:color="auto" w:fill="auto"/>
            <w:tcMar>
              <w:top w:w="113" w:type="dxa"/>
              <w:left w:w="28" w:type="dxa"/>
              <w:bottom w:w="113" w:type="dxa"/>
              <w:right w:w="28" w:type="dxa"/>
            </w:tcMar>
          </w:tcPr>
          <w:p w14:paraId="3B065BEE" w14:textId="77777777" w:rsidR="004A7EDA" w:rsidRPr="0061564D" w:rsidRDefault="004A7EDA" w:rsidP="00991083">
            <w:pPr>
              <w:pStyle w:val="TableCopy"/>
            </w:pPr>
            <w:r w:rsidRPr="0061564D">
              <w:t>Jobseekers supported through Jobs Victoria services (mentors and advocates)</w:t>
            </w:r>
          </w:p>
        </w:tc>
        <w:tc>
          <w:tcPr>
            <w:tcW w:w="964" w:type="dxa"/>
            <w:shd w:val="clear" w:color="auto" w:fill="auto"/>
            <w:tcMar>
              <w:top w:w="113" w:type="dxa"/>
              <w:left w:w="28" w:type="dxa"/>
              <w:bottom w:w="113" w:type="dxa"/>
              <w:right w:w="28" w:type="dxa"/>
            </w:tcMar>
          </w:tcPr>
          <w:p w14:paraId="7E017F11"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1A74A591" w14:textId="77777777" w:rsidR="004A7EDA" w:rsidRPr="004A7EDA" w:rsidRDefault="004A7EDA" w:rsidP="00991083">
            <w:pPr>
              <w:pStyle w:val="TableCopy"/>
              <w:rPr>
                <w:lang w:val="en-GB"/>
              </w:rPr>
            </w:pPr>
            <w:r w:rsidRPr="004A7EDA">
              <w:rPr>
                <w:lang w:val="en-GB"/>
              </w:rPr>
              <w:t>31,544</w:t>
            </w:r>
          </w:p>
        </w:tc>
        <w:tc>
          <w:tcPr>
            <w:tcW w:w="964" w:type="dxa"/>
            <w:shd w:val="clear" w:color="auto" w:fill="auto"/>
            <w:tcMar>
              <w:top w:w="113" w:type="dxa"/>
              <w:left w:w="28" w:type="dxa"/>
              <w:bottom w:w="113" w:type="dxa"/>
              <w:right w:w="28" w:type="dxa"/>
            </w:tcMar>
          </w:tcPr>
          <w:p w14:paraId="08005EDB" w14:textId="77777777" w:rsidR="004A7EDA" w:rsidRPr="004A7EDA" w:rsidRDefault="004A7EDA" w:rsidP="00991083">
            <w:pPr>
              <w:pStyle w:val="TableCopy"/>
              <w:rPr>
                <w:lang w:val="en-GB"/>
              </w:rPr>
            </w:pPr>
            <w:r w:rsidRPr="004A7EDA">
              <w:rPr>
                <w:lang w:val="en-GB"/>
              </w:rPr>
              <w:t>34,000</w:t>
            </w:r>
          </w:p>
        </w:tc>
        <w:tc>
          <w:tcPr>
            <w:tcW w:w="1304" w:type="dxa"/>
            <w:shd w:val="clear" w:color="auto" w:fill="auto"/>
            <w:tcMar>
              <w:top w:w="113" w:type="dxa"/>
              <w:left w:w="28" w:type="dxa"/>
              <w:bottom w:w="113" w:type="dxa"/>
              <w:right w:w="28" w:type="dxa"/>
            </w:tcMar>
          </w:tcPr>
          <w:p w14:paraId="1143AD5C" w14:textId="77777777" w:rsidR="004A7EDA" w:rsidRPr="004A7EDA" w:rsidRDefault="004A7EDA" w:rsidP="00991083">
            <w:pPr>
              <w:pStyle w:val="TableCopy"/>
              <w:rPr>
                <w:lang w:val="en-GB"/>
              </w:rPr>
            </w:pPr>
            <w:r w:rsidRPr="004A7EDA">
              <w:rPr>
                <w:lang w:val="en-GB"/>
              </w:rPr>
              <w:t>-7.2%</w:t>
            </w:r>
          </w:p>
        </w:tc>
        <w:tc>
          <w:tcPr>
            <w:tcW w:w="964" w:type="dxa"/>
            <w:shd w:val="clear" w:color="auto" w:fill="auto"/>
            <w:tcMar>
              <w:top w:w="113" w:type="dxa"/>
              <w:left w:w="28" w:type="dxa"/>
              <w:bottom w:w="113" w:type="dxa"/>
              <w:right w:w="28" w:type="dxa"/>
            </w:tcMar>
          </w:tcPr>
          <w:p w14:paraId="6C5E65EE" w14:textId="11D72293" w:rsidR="004A7EDA" w:rsidRPr="004A7EDA" w:rsidRDefault="0082401B" w:rsidP="00991083">
            <w:pPr>
              <w:pStyle w:val="TableCopy"/>
              <w:rPr>
                <w:lang w:val="en-GB"/>
              </w:rPr>
            </w:pPr>
            <w:r>
              <w:rPr>
                <w:lang w:val="en-GB"/>
              </w:rPr>
              <w:t>#</w:t>
            </w:r>
          </w:p>
        </w:tc>
      </w:tr>
      <w:tr w:rsidR="004A7EDA" w:rsidRPr="004A7EDA" w14:paraId="7D7DA48E" w14:textId="77777777" w:rsidTr="000143B1">
        <w:trPr>
          <w:trHeight w:val="113"/>
        </w:trPr>
        <w:tc>
          <w:tcPr>
            <w:tcW w:w="9638" w:type="dxa"/>
            <w:gridSpan w:val="6"/>
            <w:shd w:val="clear" w:color="auto" w:fill="auto"/>
            <w:tcMar>
              <w:top w:w="113" w:type="dxa"/>
              <w:left w:w="113" w:type="dxa"/>
              <w:bottom w:w="113" w:type="dxa"/>
              <w:right w:w="113" w:type="dxa"/>
            </w:tcMar>
          </w:tcPr>
          <w:p w14:paraId="54C75110" w14:textId="77777777" w:rsidR="004A7EDA" w:rsidRPr="0061564D" w:rsidRDefault="004A7EDA" w:rsidP="00991083">
            <w:pPr>
              <w:pStyle w:val="TableCopy"/>
            </w:pPr>
            <w:r w:rsidRPr="0061564D">
              <w:t xml:space="preserve">Lower result because the expanded suite of Jobs Victoria services announced in November 2020 was in the process of scaling up in the first part of 2021. </w:t>
            </w:r>
          </w:p>
        </w:tc>
      </w:tr>
      <w:tr w:rsidR="004A7EDA" w:rsidRPr="004A7EDA" w14:paraId="66367239" w14:textId="77777777" w:rsidTr="000143B1">
        <w:trPr>
          <w:trHeight w:val="113"/>
        </w:trPr>
        <w:tc>
          <w:tcPr>
            <w:tcW w:w="4479" w:type="dxa"/>
            <w:shd w:val="clear" w:color="auto" w:fill="auto"/>
            <w:tcMar>
              <w:top w:w="113" w:type="dxa"/>
              <w:left w:w="28" w:type="dxa"/>
              <w:bottom w:w="113" w:type="dxa"/>
              <w:right w:w="28" w:type="dxa"/>
            </w:tcMar>
          </w:tcPr>
          <w:p w14:paraId="581EE24E" w14:textId="77777777" w:rsidR="004A7EDA" w:rsidRPr="0061564D" w:rsidRDefault="004A7EDA" w:rsidP="00991083">
            <w:pPr>
              <w:pStyle w:val="TableCopy"/>
            </w:pPr>
            <w:r w:rsidRPr="0061564D">
              <w:t>Jobseekers who gain employment with the support</w:t>
            </w:r>
            <w:r w:rsidRPr="0061564D">
              <w:br/>
              <w:t>of Jobs Victoria</w:t>
            </w:r>
          </w:p>
        </w:tc>
        <w:tc>
          <w:tcPr>
            <w:tcW w:w="964" w:type="dxa"/>
            <w:shd w:val="clear" w:color="auto" w:fill="auto"/>
            <w:tcMar>
              <w:top w:w="113" w:type="dxa"/>
              <w:left w:w="28" w:type="dxa"/>
              <w:bottom w:w="113" w:type="dxa"/>
              <w:right w:w="28" w:type="dxa"/>
            </w:tcMar>
          </w:tcPr>
          <w:p w14:paraId="33DCBAF4"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35FCFCB5" w14:textId="77777777" w:rsidR="004A7EDA" w:rsidRPr="004A7EDA" w:rsidRDefault="004A7EDA" w:rsidP="00991083">
            <w:pPr>
              <w:pStyle w:val="TableCopy"/>
              <w:rPr>
                <w:lang w:val="en-GB"/>
              </w:rPr>
            </w:pPr>
            <w:r w:rsidRPr="004A7EDA">
              <w:rPr>
                <w:lang w:val="en-GB"/>
              </w:rPr>
              <w:t>2,117</w:t>
            </w:r>
          </w:p>
        </w:tc>
        <w:tc>
          <w:tcPr>
            <w:tcW w:w="964" w:type="dxa"/>
            <w:shd w:val="clear" w:color="auto" w:fill="auto"/>
            <w:tcMar>
              <w:top w:w="113" w:type="dxa"/>
              <w:left w:w="28" w:type="dxa"/>
              <w:bottom w:w="113" w:type="dxa"/>
              <w:right w:w="28" w:type="dxa"/>
            </w:tcMar>
          </w:tcPr>
          <w:p w14:paraId="45776BF8" w14:textId="77777777" w:rsidR="004A7EDA" w:rsidRPr="004A7EDA" w:rsidRDefault="004A7EDA" w:rsidP="00991083">
            <w:pPr>
              <w:pStyle w:val="TableCopy"/>
              <w:rPr>
                <w:lang w:val="en-GB"/>
              </w:rPr>
            </w:pPr>
            <w:r w:rsidRPr="004A7EDA">
              <w:rPr>
                <w:lang w:val="en-GB"/>
              </w:rPr>
              <w:t>11,200</w:t>
            </w:r>
          </w:p>
        </w:tc>
        <w:tc>
          <w:tcPr>
            <w:tcW w:w="1304" w:type="dxa"/>
            <w:shd w:val="clear" w:color="auto" w:fill="auto"/>
            <w:tcMar>
              <w:top w:w="113" w:type="dxa"/>
              <w:left w:w="28" w:type="dxa"/>
              <w:bottom w:w="113" w:type="dxa"/>
              <w:right w:w="28" w:type="dxa"/>
            </w:tcMar>
          </w:tcPr>
          <w:p w14:paraId="1175D620" w14:textId="77777777" w:rsidR="004A7EDA" w:rsidRPr="004A7EDA" w:rsidRDefault="004A7EDA" w:rsidP="00991083">
            <w:pPr>
              <w:pStyle w:val="TableCopy"/>
              <w:rPr>
                <w:lang w:val="en-GB"/>
              </w:rPr>
            </w:pPr>
            <w:r w:rsidRPr="004A7EDA">
              <w:rPr>
                <w:lang w:val="en-GB"/>
              </w:rPr>
              <w:t>-81.1%</w:t>
            </w:r>
          </w:p>
        </w:tc>
        <w:tc>
          <w:tcPr>
            <w:tcW w:w="964" w:type="dxa"/>
            <w:shd w:val="clear" w:color="auto" w:fill="auto"/>
            <w:tcMar>
              <w:top w:w="113" w:type="dxa"/>
              <w:left w:w="28" w:type="dxa"/>
              <w:bottom w:w="113" w:type="dxa"/>
              <w:right w:w="28" w:type="dxa"/>
            </w:tcMar>
          </w:tcPr>
          <w:p w14:paraId="70A4329C" w14:textId="595A5636" w:rsidR="004A7EDA" w:rsidRPr="004A7EDA" w:rsidRDefault="0082401B" w:rsidP="00991083">
            <w:pPr>
              <w:pStyle w:val="TableCopy"/>
              <w:rPr>
                <w:lang w:val="en-GB"/>
              </w:rPr>
            </w:pPr>
            <w:r>
              <w:rPr>
                <w:lang w:val="en-GB"/>
              </w:rPr>
              <w:t>#</w:t>
            </w:r>
          </w:p>
        </w:tc>
      </w:tr>
      <w:tr w:rsidR="004A7EDA" w:rsidRPr="004A7EDA" w14:paraId="1FD6A077" w14:textId="77777777" w:rsidTr="000143B1">
        <w:trPr>
          <w:trHeight w:val="113"/>
        </w:trPr>
        <w:tc>
          <w:tcPr>
            <w:tcW w:w="9638" w:type="dxa"/>
            <w:gridSpan w:val="6"/>
            <w:shd w:val="clear" w:color="auto" w:fill="auto"/>
            <w:tcMar>
              <w:top w:w="113" w:type="dxa"/>
              <w:left w:w="113" w:type="dxa"/>
              <w:bottom w:w="113" w:type="dxa"/>
              <w:right w:w="113" w:type="dxa"/>
            </w:tcMar>
          </w:tcPr>
          <w:p w14:paraId="51C8CFBF" w14:textId="77777777" w:rsidR="004A7EDA" w:rsidRPr="0061564D" w:rsidRDefault="004A7EDA" w:rsidP="00991083">
            <w:pPr>
              <w:pStyle w:val="TableCopy"/>
            </w:pPr>
            <w:r w:rsidRPr="0061564D">
              <w:lastRenderedPageBreak/>
              <w:t xml:space="preserve">Lower result because the expanded suite of Jobs Victoria services announced in November 2020 was in the process of scaling up in the first part of 2021. Over this period the number of people placed into work through Working for Victoria exceeded targets. </w:t>
            </w:r>
          </w:p>
        </w:tc>
      </w:tr>
      <w:tr w:rsidR="004A7EDA" w:rsidRPr="004A7EDA" w14:paraId="141532B4" w14:textId="77777777" w:rsidTr="000143B1">
        <w:trPr>
          <w:trHeight w:val="113"/>
        </w:trPr>
        <w:tc>
          <w:tcPr>
            <w:tcW w:w="4479" w:type="dxa"/>
            <w:shd w:val="clear" w:color="auto" w:fill="auto"/>
            <w:tcMar>
              <w:top w:w="113" w:type="dxa"/>
              <w:left w:w="28" w:type="dxa"/>
              <w:bottom w:w="113" w:type="dxa"/>
              <w:right w:w="28" w:type="dxa"/>
            </w:tcMar>
          </w:tcPr>
          <w:p w14:paraId="07D6B30D" w14:textId="77777777" w:rsidR="004A7EDA" w:rsidRPr="0061564D" w:rsidRDefault="004A7EDA" w:rsidP="00991083">
            <w:pPr>
              <w:pStyle w:val="TableCopy"/>
            </w:pPr>
            <w:r w:rsidRPr="0061564D">
              <w:t>Number of jobs created through Working for Victoria</w:t>
            </w:r>
          </w:p>
        </w:tc>
        <w:tc>
          <w:tcPr>
            <w:tcW w:w="964" w:type="dxa"/>
            <w:shd w:val="clear" w:color="auto" w:fill="auto"/>
            <w:tcMar>
              <w:top w:w="113" w:type="dxa"/>
              <w:left w:w="28" w:type="dxa"/>
              <w:bottom w:w="113" w:type="dxa"/>
              <w:right w:w="28" w:type="dxa"/>
            </w:tcMar>
          </w:tcPr>
          <w:p w14:paraId="529FA794"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1ECB8E6" w14:textId="77777777" w:rsidR="004A7EDA" w:rsidRPr="004A7EDA" w:rsidRDefault="004A7EDA" w:rsidP="00991083">
            <w:pPr>
              <w:pStyle w:val="TableCopy"/>
              <w:rPr>
                <w:lang w:val="en-GB"/>
              </w:rPr>
            </w:pPr>
            <w:r w:rsidRPr="004A7EDA">
              <w:rPr>
                <w:lang w:val="en-GB"/>
              </w:rPr>
              <w:t>12,512</w:t>
            </w:r>
          </w:p>
        </w:tc>
        <w:tc>
          <w:tcPr>
            <w:tcW w:w="964" w:type="dxa"/>
            <w:shd w:val="clear" w:color="auto" w:fill="auto"/>
            <w:tcMar>
              <w:top w:w="113" w:type="dxa"/>
              <w:left w:w="28" w:type="dxa"/>
              <w:bottom w:w="113" w:type="dxa"/>
              <w:right w:w="28" w:type="dxa"/>
            </w:tcMar>
          </w:tcPr>
          <w:p w14:paraId="017E2B1F" w14:textId="77777777" w:rsidR="004A7EDA" w:rsidRPr="004A7EDA" w:rsidRDefault="004A7EDA" w:rsidP="00991083">
            <w:pPr>
              <w:pStyle w:val="TableCopy"/>
              <w:rPr>
                <w:lang w:val="en-GB"/>
              </w:rPr>
            </w:pPr>
            <w:r w:rsidRPr="004A7EDA">
              <w:rPr>
                <w:lang w:val="en-GB"/>
              </w:rPr>
              <w:t>10,000</w:t>
            </w:r>
          </w:p>
        </w:tc>
        <w:tc>
          <w:tcPr>
            <w:tcW w:w="1304" w:type="dxa"/>
            <w:shd w:val="clear" w:color="auto" w:fill="auto"/>
            <w:tcMar>
              <w:top w:w="113" w:type="dxa"/>
              <w:left w:w="28" w:type="dxa"/>
              <w:bottom w:w="113" w:type="dxa"/>
              <w:right w:w="28" w:type="dxa"/>
            </w:tcMar>
          </w:tcPr>
          <w:p w14:paraId="6048F663" w14:textId="77777777" w:rsidR="004A7EDA" w:rsidRPr="004A7EDA" w:rsidRDefault="004A7EDA" w:rsidP="00991083">
            <w:pPr>
              <w:pStyle w:val="TableCopy"/>
              <w:rPr>
                <w:lang w:val="en-GB"/>
              </w:rPr>
            </w:pPr>
            <w:r w:rsidRPr="004A7EDA">
              <w:rPr>
                <w:lang w:val="en-GB"/>
              </w:rPr>
              <w:t>25.1%</w:t>
            </w:r>
          </w:p>
        </w:tc>
        <w:tc>
          <w:tcPr>
            <w:tcW w:w="964" w:type="dxa"/>
            <w:shd w:val="clear" w:color="auto" w:fill="auto"/>
            <w:tcMar>
              <w:top w:w="113" w:type="dxa"/>
              <w:left w:w="28" w:type="dxa"/>
              <w:bottom w:w="113" w:type="dxa"/>
              <w:right w:w="28" w:type="dxa"/>
            </w:tcMar>
          </w:tcPr>
          <w:p w14:paraId="6A2121A9" w14:textId="2091EF65" w:rsidR="004A7EDA" w:rsidRPr="004A7EDA" w:rsidRDefault="004A7EDA" w:rsidP="00991083">
            <w:pPr>
              <w:pStyle w:val="TableCopy"/>
              <w:rPr>
                <w:lang w:val="en-GB"/>
              </w:rPr>
            </w:pPr>
            <w:r>
              <w:rPr>
                <w:lang w:val="en-GB"/>
              </w:rPr>
              <w:t>*</w:t>
            </w:r>
          </w:p>
        </w:tc>
      </w:tr>
      <w:tr w:rsidR="004A7EDA" w:rsidRPr="004A7EDA" w14:paraId="1679BFA2" w14:textId="77777777" w:rsidTr="000143B1">
        <w:trPr>
          <w:trHeight w:val="113"/>
        </w:trPr>
        <w:tc>
          <w:tcPr>
            <w:tcW w:w="9638" w:type="dxa"/>
            <w:gridSpan w:val="6"/>
            <w:shd w:val="clear" w:color="auto" w:fill="auto"/>
            <w:tcMar>
              <w:top w:w="113" w:type="dxa"/>
              <w:left w:w="113" w:type="dxa"/>
              <w:bottom w:w="113" w:type="dxa"/>
              <w:right w:w="113" w:type="dxa"/>
            </w:tcMar>
          </w:tcPr>
          <w:p w14:paraId="0C46E2DC" w14:textId="77777777" w:rsidR="004A7EDA" w:rsidRPr="0061564D" w:rsidRDefault="004A7EDA" w:rsidP="00991083">
            <w:pPr>
              <w:pStyle w:val="TableCopy"/>
            </w:pPr>
            <w:r w:rsidRPr="0061564D">
              <w:t>Higher result because the Working for Victoria initiative exceeded outcomes and supported more people into jobs than was expected.</w:t>
            </w:r>
          </w:p>
        </w:tc>
      </w:tr>
      <w:tr w:rsidR="004A7EDA" w:rsidRPr="004A7EDA" w14:paraId="3E6D25E6" w14:textId="77777777" w:rsidTr="000143B1">
        <w:trPr>
          <w:trHeight w:val="113"/>
        </w:trPr>
        <w:tc>
          <w:tcPr>
            <w:tcW w:w="4479" w:type="dxa"/>
            <w:shd w:val="clear" w:color="auto" w:fill="auto"/>
            <w:tcMar>
              <w:top w:w="113" w:type="dxa"/>
              <w:left w:w="28" w:type="dxa"/>
              <w:bottom w:w="113" w:type="dxa"/>
              <w:right w:w="28" w:type="dxa"/>
            </w:tcMar>
          </w:tcPr>
          <w:p w14:paraId="57B955AF" w14:textId="77777777" w:rsidR="004A7EDA" w:rsidRPr="0061564D" w:rsidRDefault="004A7EDA" w:rsidP="00991083">
            <w:pPr>
              <w:pStyle w:val="TableCopy"/>
            </w:pPr>
            <w:r w:rsidRPr="0061564D">
              <w:t>Number of jobseekers placed into jobs through</w:t>
            </w:r>
            <w:r w:rsidRPr="0061564D">
              <w:br/>
              <w:t>Working for Victoria</w:t>
            </w:r>
          </w:p>
        </w:tc>
        <w:tc>
          <w:tcPr>
            <w:tcW w:w="964" w:type="dxa"/>
            <w:shd w:val="clear" w:color="auto" w:fill="auto"/>
            <w:tcMar>
              <w:top w:w="113" w:type="dxa"/>
              <w:left w:w="28" w:type="dxa"/>
              <w:bottom w:w="113" w:type="dxa"/>
              <w:right w:w="28" w:type="dxa"/>
            </w:tcMar>
          </w:tcPr>
          <w:p w14:paraId="7C18FE60"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65E3A6FA" w14:textId="77777777" w:rsidR="004A7EDA" w:rsidRPr="004A7EDA" w:rsidRDefault="004A7EDA" w:rsidP="00991083">
            <w:pPr>
              <w:pStyle w:val="TableCopy"/>
              <w:rPr>
                <w:lang w:val="en-GB"/>
              </w:rPr>
            </w:pPr>
            <w:r w:rsidRPr="004A7EDA">
              <w:rPr>
                <w:lang w:val="en-GB"/>
              </w:rPr>
              <w:t>13,603</w:t>
            </w:r>
          </w:p>
        </w:tc>
        <w:tc>
          <w:tcPr>
            <w:tcW w:w="964" w:type="dxa"/>
            <w:shd w:val="clear" w:color="auto" w:fill="auto"/>
            <w:tcMar>
              <w:top w:w="113" w:type="dxa"/>
              <w:left w:w="28" w:type="dxa"/>
              <w:bottom w:w="113" w:type="dxa"/>
              <w:right w:w="28" w:type="dxa"/>
            </w:tcMar>
          </w:tcPr>
          <w:p w14:paraId="6989B9A2" w14:textId="77777777" w:rsidR="004A7EDA" w:rsidRPr="004A7EDA" w:rsidRDefault="004A7EDA" w:rsidP="00991083">
            <w:pPr>
              <w:pStyle w:val="TableCopy"/>
              <w:rPr>
                <w:lang w:val="en-GB"/>
              </w:rPr>
            </w:pPr>
            <w:r w:rsidRPr="004A7EDA">
              <w:rPr>
                <w:lang w:val="en-GB"/>
              </w:rPr>
              <w:t>7,500</w:t>
            </w:r>
          </w:p>
        </w:tc>
        <w:tc>
          <w:tcPr>
            <w:tcW w:w="1304" w:type="dxa"/>
            <w:shd w:val="clear" w:color="auto" w:fill="auto"/>
            <w:tcMar>
              <w:top w:w="113" w:type="dxa"/>
              <w:left w:w="28" w:type="dxa"/>
              <w:bottom w:w="113" w:type="dxa"/>
              <w:right w:w="28" w:type="dxa"/>
            </w:tcMar>
          </w:tcPr>
          <w:p w14:paraId="63A35C82" w14:textId="77777777" w:rsidR="004A7EDA" w:rsidRPr="004A7EDA" w:rsidRDefault="004A7EDA" w:rsidP="00991083">
            <w:pPr>
              <w:pStyle w:val="TableCopy"/>
              <w:rPr>
                <w:lang w:val="en-GB"/>
              </w:rPr>
            </w:pPr>
            <w:r w:rsidRPr="004A7EDA">
              <w:rPr>
                <w:lang w:val="en-GB"/>
              </w:rPr>
              <w:t>81.4%</w:t>
            </w:r>
          </w:p>
        </w:tc>
        <w:tc>
          <w:tcPr>
            <w:tcW w:w="964" w:type="dxa"/>
            <w:shd w:val="clear" w:color="auto" w:fill="auto"/>
            <w:tcMar>
              <w:top w:w="113" w:type="dxa"/>
              <w:left w:w="28" w:type="dxa"/>
              <w:bottom w:w="113" w:type="dxa"/>
              <w:right w:w="28" w:type="dxa"/>
            </w:tcMar>
          </w:tcPr>
          <w:p w14:paraId="0D20CD35" w14:textId="36C9D4CD" w:rsidR="004A7EDA" w:rsidRPr="004A7EDA" w:rsidRDefault="004A7EDA" w:rsidP="00991083">
            <w:pPr>
              <w:pStyle w:val="TableCopy"/>
              <w:rPr>
                <w:lang w:val="en-GB"/>
              </w:rPr>
            </w:pPr>
            <w:r>
              <w:rPr>
                <w:lang w:val="en-GB"/>
              </w:rPr>
              <w:t>*</w:t>
            </w:r>
          </w:p>
        </w:tc>
      </w:tr>
      <w:tr w:rsidR="004A7EDA" w:rsidRPr="004A7EDA" w14:paraId="31F409C8" w14:textId="77777777" w:rsidTr="000143B1">
        <w:trPr>
          <w:trHeight w:val="113"/>
        </w:trPr>
        <w:tc>
          <w:tcPr>
            <w:tcW w:w="9638" w:type="dxa"/>
            <w:gridSpan w:val="6"/>
            <w:shd w:val="clear" w:color="auto" w:fill="auto"/>
            <w:tcMar>
              <w:top w:w="113" w:type="dxa"/>
              <w:left w:w="113" w:type="dxa"/>
              <w:bottom w:w="113" w:type="dxa"/>
              <w:right w:w="113" w:type="dxa"/>
            </w:tcMar>
          </w:tcPr>
          <w:p w14:paraId="7C53B281" w14:textId="77777777" w:rsidR="004A7EDA" w:rsidRPr="0061564D" w:rsidRDefault="004A7EDA" w:rsidP="00991083">
            <w:pPr>
              <w:pStyle w:val="TableCopy"/>
            </w:pPr>
            <w:r w:rsidRPr="0061564D">
              <w:t>Higher result because the Working for Victoria initiative exceeded outcomes and supported more people into jobs than was expected.</w:t>
            </w:r>
          </w:p>
        </w:tc>
      </w:tr>
      <w:tr w:rsidR="004A7EDA" w:rsidRPr="004A7EDA" w14:paraId="74A3700D" w14:textId="77777777" w:rsidTr="000143B1">
        <w:trPr>
          <w:trHeight w:val="113"/>
        </w:trPr>
        <w:tc>
          <w:tcPr>
            <w:tcW w:w="4479" w:type="dxa"/>
            <w:shd w:val="clear" w:color="auto" w:fill="auto"/>
            <w:tcMar>
              <w:top w:w="113" w:type="dxa"/>
              <w:left w:w="28" w:type="dxa"/>
              <w:bottom w:w="113" w:type="dxa"/>
              <w:right w:w="28" w:type="dxa"/>
            </w:tcMar>
          </w:tcPr>
          <w:p w14:paraId="7A280E80" w14:textId="77777777" w:rsidR="004A7EDA" w:rsidRPr="0061564D" w:rsidRDefault="004A7EDA" w:rsidP="00991083">
            <w:pPr>
              <w:pStyle w:val="TableCopy"/>
            </w:pPr>
            <w:r w:rsidRPr="0061564D">
              <w:t>Retrenched workers supported with employment assistance</w:t>
            </w:r>
          </w:p>
        </w:tc>
        <w:tc>
          <w:tcPr>
            <w:tcW w:w="964" w:type="dxa"/>
            <w:shd w:val="clear" w:color="auto" w:fill="auto"/>
            <w:tcMar>
              <w:top w:w="113" w:type="dxa"/>
              <w:left w:w="28" w:type="dxa"/>
              <w:bottom w:w="113" w:type="dxa"/>
              <w:right w:w="28" w:type="dxa"/>
            </w:tcMar>
          </w:tcPr>
          <w:p w14:paraId="6DC14453"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2A671FDC" w14:textId="77777777" w:rsidR="004A7EDA" w:rsidRPr="004A7EDA" w:rsidRDefault="004A7EDA" w:rsidP="00991083">
            <w:pPr>
              <w:pStyle w:val="TableCopy"/>
              <w:rPr>
                <w:lang w:val="en-GB"/>
              </w:rPr>
            </w:pPr>
            <w:r w:rsidRPr="004A7EDA">
              <w:rPr>
                <w:lang w:val="en-GB"/>
              </w:rPr>
              <w:t>598</w:t>
            </w:r>
          </w:p>
        </w:tc>
        <w:tc>
          <w:tcPr>
            <w:tcW w:w="964" w:type="dxa"/>
            <w:shd w:val="clear" w:color="auto" w:fill="auto"/>
            <w:tcMar>
              <w:top w:w="113" w:type="dxa"/>
              <w:left w:w="28" w:type="dxa"/>
              <w:bottom w:w="113" w:type="dxa"/>
              <w:right w:w="28" w:type="dxa"/>
            </w:tcMar>
          </w:tcPr>
          <w:p w14:paraId="513E1090" w14:textId="77777777" w:rsidR="004A7EDA" w:rsidRPr="004A7EDA" w:rsidRDefault="004A7EDA" w:rsidP="00991083">
            <w:pPr>
              <w:pStyle w:val="TableCopy"/>
              <w:rPr>
                <w:lang w:val="en-GB"/>
              </w:rPr>
            </w:pPr>
            <w:r w:rsidRPr="004A7EDA">
              <w:rPr>
                <w:lang w:val="en-GB"/>
              </w:rPr>
              <w:t>2,000</w:t>
            </w:r>
          </w:p>
        </w:tc>
        <w:tc>
          <w:tcPr>
            <w:tcW w:w="1304" w:type="dxa"/>
            <w:shd w:val="clear" w:color="auto" w:fill="auto"/>
            <w:tcMar>
              <w:top w:w="113" w:type="dxa"/>
              <w:left w:w="28" w:type="dxa"/>
              <w:bottom w:w="113" w:type="dxa"/>
              <w:right w:w="28" w:type="dxa"/>
            </w:tcMar>
          </w:tcPr>
          <w:p w14:paraId="550E55C1" w14:textId="77777777" w:rsidR="004A7EDA" w:rsidRPr="004A7EDA" w:rsidRDefault="004A7EDA" w:rsidP="00991083">
            <w:pPr>
              <w:pStyle w:val="TableCopy"/>
              <w:rPr>
                <w:lang w:val="en-GB"/>
              </w:rPr>
            </w:pPr>
            <w:r w:rsidRPr="004A7EDA">
              <w:rPr>
                <w:lang w:val="en-GB"/>
              </w:rPr>
              <w:t>-70.1%</w:t>
            </w:r>
          </w:p>
        </w:tc>
        <w:tc>
          <w:tcPr>
            <w:tcW w:w="964" w:type="dxa"/>
            <w:shd w:val="clear" w:color="auto" w:fill="auto"/>
            <w:tcMar>
              <w:top w:w="113" w:type="dxa"/>
              <w:left w:w="28" w:type="dxa"/>
              <w:bottom w:w="113" w:type="dxa"/>
              <w:right w:w="28" w:type="dxa"/>
            </w:tcMar>
          </w:tcPr>
          <w:p w14:paraId="21FCA71B" w14:textId="60BD681B" w:rsidR="004A7EDA" w:rsidRPr="004A7EDA" w:rsidRDefault="0082401B" w:rsidP="00991083">
            <w:pPr>
              <w:pStyle w:val="TableCopy"/>
              <w:rPr>
                <w:lang w:val="en-GB"/>
              </w:rPr>
            </w:pPr>
            <w:r>
              <w:rPr>
                <w:lang w:val="en-GB"/>
              </w:rPr>
              <w:t>#</w:t>
            </w:r>
          </w:p>
        </w:tc>
      </w:tr>
      <w:tr w:rsidR="004A7EDA" w:rsidRPr="004A7EDA" w14:paraId="743FBED8" w14:textId="77777777" w:rsidTr="000143B1">
        <w:trPr>
          <w:trHeight w:val="113"/>
        </w:trPr>
        <w:tc>
          <w:tcPr>
            <w:tcW w:w="9638" w:type="dxa"/>
            <w:gridSpan w:val="6"/>
            <w:shd w:val="clear" w:color="auto" w:fill="auto"/>
            <w:tcMar>
              <w:top w:w="113" w:type="dxa"/>
              <w:left w:w="113" w:type="dxa"/>
              <w:bottom w:w="113" w:type="dxa"/>
              <w:right w:w="113" w:type="dxa"/>
            </w:tcMar>
          </w:tcPr>
          <w:p w14:paraId="3D0E9A3C" w14:textId="77777777" w:rsidR="004A7EDA" w:rsidRPr="0061564D" w:rsidRDefault="004A7EDA" w:rsidP="00991083">
            <w:pPr>
              <w:pStyle w:val="TableCopy"/>
            </w:pPr>
            <w:r w:rsidRPr="0061564D">
              <w:t>Lower result due to impacts of COVID-19 on the program.</w:t>
            </w:r>
          </w:p>
        </w:tc>
      </w:tr>
      <w:tr w:rsidR="004A7EDA" w:rsidRPr="004A7EDA" w14:paraId="4526AF8E" w14:textId="77777777" w:rsidTr="000143B1">
        <w:trPr>
          <w:trHeight w:val="113"/>
        </w:trPr>
        <w:tc>
          <w:tcPr>
            <w:tcW w:w="4479" w:type="dxa"/>
            <w:shd w:val="clear" w:color="auto" w:fill="auto"/>
            <w:tcMar>
              <w:top w:w="113" w:type="dxa"/>
              <w:left w:w="28" w:type="dxa"/>
              <w:bottom w:w="113" w:type="dxa"/>
              <w:right w:w="28" w:type="dxa"/>
            </w:tcMar>
          </w:tcPr>
          <w:p w14:paraId="4C895682" w14:textId="77777777" w:rsidR="004A7EDA" w:rsidRPr="0061564D" w:rsidRDefault="004A7EDA" w:rsidP="00991083">
            <w:pPr>
              <w:pStyle w:val="TableCopy"/>
            </w:pPr>
            <w:r w:rsidRPr="0061564D">
              <w:t>Social enterprises assisted</w:t>
            </w:r>
          </w:p>
        </w:tc>
        <w:tc>
          <w:tcPr>
            <w:tcW w:w="964" w:type="dxa"/>
            <w:shd w:val="clear" w:color="auto" w:fill="auto"/>
            <w:tcMar>
              <w:top w:w="113" w:type="dxa"/>
              <w:left w:w="28" w:type="dxa"/>
              <w:bottom w:w="113" w:type="dxa"/>
              <w:right w:w="28" w:type="dxa"/>
            </w:tcMar>
          </w:tcPr>
          <w:p w14:paraId="4BC8A4C0"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6B652653" w14:textId="77777777" w:rsidR="004A7EDA" w:rsidRPr="004A7EDA" w:rsidRDefault="004A7EDA" w:rsidP="00991083">
            <w:pPr>
              <w:pStyle w:val="TableCopy"/>
              <w:rPr>
                <w:lang w:val="en-GB"/>
              </w:rPr>
            </w:pPr>
            <w:r w:rsidRPr="004A7EDA">
              <w:rPr>
                <w:lang w:val="en-GB"/>
              </w:rPr>
              <w:t>399</w:t>
            </w:r>
          </w:p>
        </w:tc>
        <w:tc>
          <w:tcPr>
            <w:tcW w:w="964" w:type="dxa"/>
            <w:shd w:val="clear" w:color="auto" w:fill="auto"/>
            <w:tcMar>
              <w:top w:w="113" w:type="dxa"/>
              <w:left w:w="28" w:type="dxa"/>
              <w:bottom w:w="113" w:type="dxa"/>
              <w:right w:w="28" w:type="dxa"/>
            </w:tcMar>
          </w:tcPr>
          <w:p w14:paraId="227C306C" w14:textId="77777777" w:rsidR="004A7EDA" w:rsidRPr="004A7EDA" w:rsidRDefault="004A7EDA" w:rsidP="00991083">
            <w:pPr>
              <w:pStyle w:val="TableCopy"/>
              <w:rPr>
                <w:lang w:val="en-GB"/>
              </w:rPr>
            </w:pPr>
            <w:r w:rsidRPr="004A7EDA">
              <w:rPr>
                <w:lang w:val="en-GB"/>
              </w:rPr>
              <w:t>150</w:t>
            </w:r>
          </w:p>
        </w:tc>
        <w:tc>
          <w:tcPr>
            <w:tcW w:w="1304" w:type="dxa"/>
            <w:shd w:val="clear" w:color="auto" w:fill="auto"/>
            <w:tcMar>
              <w:top w:w="113" w:type="dxa"/>
              <w:left w:w="28" w:type="dxa"/>
              <w:bottom w:w="113" w:type="dxa"/>
              <w:right w:w="28" w:type="dxa"/>
            </w:tcMar>
          </w:tcPr>
          <w:p w14:paraId="115A52DD" w14:textId="77777777" w:rsidR="004A7EDA" w:rsidRPr="004A7EDA" w:rsidRDefault="004A7EDA" w:rsidP="00991083">
            <w:pPr>
              <w:pStyle w:val="TableCopy"/>
              <w:rPr>
                <w:lang w:val="en-GB"/>
              </w:rPr>
            </w:pPr>
            <w:r w:rsidRPr="004A7EDA">
              <w:rPr>
                <w:lang w:val="en-GB"/>
              </w:rPr>
              <w:t>166.0%</w:t>
            </w:r>
          </w:p>
        </w:tc>
        <w:tc>
          <w:tcPr>
            <w:tcW w:w="964" w:type="dxa"/>
            <w:shd w:val="clear" w:color="auto" w:fill="auto"/>
            <w:tcMar>
              <w:top w:w="113" w:type="dxa"/>
              <w:left w:w="28" w:type="dxa"/>
              <w:bottom w:w="113" w:type="dxa"/>
              <w:right w:w="28" w:type="dxa"/>
            </w:tcMar>
          </w:tcPr>
          <w:p w14:paraId="5129A188" w14:textId="375E09D4" w:rsidR="004A7EDA" w:rsidRPr="004A7EDA" w:rsidRDefault="004A7EDA" w:rsidP="00991083">
            <w:pPr>
              <w:pStyle w:val="TableCopy"/>
              <w:rPr>
                <w:lang w:val="en-GB"/>
              </w:rPr>
            </w:pPr>
            <w:r>
              <w:rPr>
                <w:lang w:val="en-GB"/>
              </w:rPr>
              <w:t>*</w:t>
            </w:r>
          </w:p>
        </w:tc>
      </w:tr>
      <w:tr w:rsidR="004A7EDA" w:rsidRPr="004A7EDA" w14:paraId="715ABE05" w14:textId="77777777" w:rsidTr="000143B1">
        <w:trPr>
          <w:trHeight w:val="113"/>
        </w:trPr>
        <w:tc>
          <w:tcPr>
            <w:tcW w:w="9638" w:type="dxa"/>
            <w:gridSpan w:val="6"/>
            <w:shd w:val="clear" w:color="auto" w:fill="auto"/>
            <w:tcMar>
              <w:top w:w="113" w:type="dxa"/>
              <w:left w:w="113" w:type="dxa"/>
              <w:bottom w:w="113" w:type="dxa"/>
              <w:right w:w="113" w:type="dxa"/>
            </w:tcMar>
          </w:tcPr>
          <w:p w14:paraId="7829A98F" w14:textId="77777777" w:rsidR="004A7EDA" w:rsidRPr="0061564D" w:rsidRDefault="004A7EDA" w:rsidP="00991083">
            <w:pPr>
              <w:pStyle w:val="TableCopy"/>
            </w:pPr>
            <w:r w:rsidRPr="0061564D">
              <w:t>Higher result due to the increased provision and uptake of learning and development supports, and support to social enterprises under the Working for Victoria initiative.</w:t>
            </w:r>
          </w:p>
        </w:tc>
      </w:tr>
      <w:tr w:rsidR="004A7EDA" w:rsidRPr="004A7EDA" w14:paraId="1448CF18" w14:textId="77777777" w:rsidTr="000143B1">
        <w:trPr>
          <w:trHeight w:val="113"/>
        </w:trPr>
        <w:tc>
          <w:tcPr>
            <w:tcW w:w="4479" w:type="dxa"/>
            <w:shd w:val="clear" w:color="auto" w:fill="auto"/>
            <w:tcMar>
              <w:top w:w="113" w:type="dxa"/>
              <w:left w:w="28" w:type="dxa"/>
              <w:bottom w:w="113" w:type="dxa"/>
              <w:right w:w="28" w:type="dxa"/>
            </w:tcMar>
          </w:tcPr>
          <w:p w14:paraId="4138B563" w14:textId="77777777" w:rsidR="004A7EDA" w:rsidRPr="0061564D" w:rsidRDefault="004A7EDA" w:rsidP="00991083">
            <w:pPr>
              <w:pStyle w:val="TableCopy"/>
            </w:pPr>
            <w:proofErr w:type="spellStart"/>
            <w:r w:rsidRPr="0061564D">
              <w:t>Subsidised</w:t>
            </w:r>
            <w:proofErr w:type="spellEnd"/>
            <w:r w:rsidRPr="0061564D">
              <w:t xml:space="preserve"> jobs for Victorians at risk of long-term unemployment</w:t>
            </w:r>
          </w:p>
        </w:tc>
        <w:tc>
          <w:tcPr>
            <w:tcW w:w="964" w:type="dxa"/>
            <w:shd w:val="clear" w:color="auto" w:fill="auto"/>
            <w:tcMar>
              <w:top w:w="113" w:type="dxa"/>
              <w:left w:w="28" w:type="dxa"/>
              <w:bottom w:w="113" w:type="dxa"/>
              <w:right w:w="28" w:type="dxa"/>
            </w:tcMar>
          </w:tcPr>
          <w:p w14:paraId="37935C46"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2B47C3F2" w14:textId="77777777" w:rsidR="004A7EDA" w:rsidRPr="004A7EDA" w:rsidRDefault="004A7EDA" w:rsidP="00991083">
            <w:pPr>
              <w:pStyle w:val="TableCopy"/>
              <w:rPr>
                <w:lang w:val="en-GB"/>
              </w:rPr>
            </w:pPr>
            <w:r w:rsidRPr="004A7EDA">
              <w:rPr>
                <w:lang w:val="en-GB"/>
              </w:rPr>
              <w:t>2,387</w:t>
            </w:r>
          </w:p>
        </w:tc>
        <w:tc>
          <w:tcPr>
            <w:tcW w:w="964" w:type="dxa"/>
            <w:shd w:val="clear" w:color="auto" w:fill="auto"/>
            <w:tcMar>
              <w:top w:w="113" w:type="dxa"/>
              <w:left w:w="28" w:type="dxa"/>
              <w:bottom w:w="113" w:type="dxa"/>
              <w:right w:w="28" w:type="dxa"/>
            </w:tcMar>
          </w:tcPr>
          <w:p w14:paraId="7B34DE92" w14:textId="77777777" w:rsidR="004A7EDA" w:rsidRPr="004A7EDA" w:rsidRDefault="004A7EDA" w:rsidP="00991083">
            <w:pPr>
              <w:pStyle w:val="TableCopy"/>
              <w:rPr>
                <w:lang w:val="en-GB"/>
              </w:rPr>
            </w:pPr>
            <w:r w:rsidRPr="004A7EDA">
              <w:rPr>
                <w:lang w:val="en-GB"/>
              </w:rPr>
              <w:t>4,000</w:t>
            </w:r>
          </w:p>
        </w:tc>
        <w:tc>
          <w:tcPr>
            <w:tcW w:w="1304" w:type="dxa"/>
            <w:shd w:val="clear" w:color="auto" w:fill="auto"/>
            <w:tcMar>
              <w:top w:w="113" w:type="dxa"/>
              <w:left w:w="28" w:type="dxa"/>
              <w:bottom w:w="113" w:type="dxa"/>
              <w:right w:w="28" w:type="dxa"/>
            </w:tcMar>
          </w:tcPr>
          <w:p w14:paraId="364B8811" w14:textId="77777777" w:rsidR="004A7EDA" w:rsidRPr="004A7EDA" w:rsidRDefault="004A7EDA" w:rsidP="00991083">
            <w:pPr>
              <w:pStyle w:val="TableCopy"/>
              <w:rPr>
                <w:lang w:val="en-GB"/>
              </w:rPr>
            </w:pPr>
            <w:r w:rsidRPr="004A7EDA">
              <w:rPr>
                <w:lang w:val="en-GB"/>
              </w:rPr>
              <w:t>-40.3%</w:t>
            </w:r>
          </w:p>
        </w:tc>
        <w:tc>
          <w:tcPr>
            <w:tcW w:w="964" w:type="dxa"/>
            <w:shd w:val="clear" w:color="auto" w:fill="auto"/>
            <w:tcMar>
              <w:top w:w="113" w:type="dxa"/>
              <w:left w:w="28" w:type="dxa"/>
              <w:bottom w:w="113" w:type="dxa"/>
              <w:right w:w="28" w:type="dxa"/>
            </w:tcMar>
          </w:tcPr>
          <w:p w14:paraId="0AAFC5ED" w14:textId="655102FD" w:rsidR="004A7EDA" w:rsidRPr="004A7EDA" w:rsidRDefault="0082401B" w:rsidP="00991083">
            <w:pPr>
              <w:pStyle w:val="TableCopy"/>
              <w:rPr>
                <w:lang w:val="en-GB"/>
              </w:rPr>
            </w:pPr>
            <w:r>
              <w:rPr>
                <w:lang w:val="en-GB"/>
              </w:rPr>
              <w:t>#</w:t>
            </w:r>
          </w:p>
        </w:tc>
      </w:tr>
      <w:tr w:rsidR="004A7EDA" w:rsidRPr="004A7EDA" w14:paraId="7DA98BC7" w14:textId="77777777" w:rsidTr="000143B1">
        <w:trPr>
          <w:trHeight w:val="113"/>
        </w:trPr>
        <w:tc>
          <w:tcPr>
            <w:tcW w:w="9638" w:type="dxa"/>
            <w:gridSpan w:val="6"/>
            <w:shd w:val="clear" w:color="auto" w:fill="auto"/>
            <w:tcMar>
              <w:top w:w="113" w:type="dxa"/>
              <w:left w:w="113" w:type="dxa"/>
              <w:bottom w:w="113" w:type="dxa"/>
              <w:right w:w="113" w:type="dxa"/>
            </w:tcMar>
          </w:tcPr>
          <w:p w14:paraId="483D95D3" w14:textId="77777777" w:rsidR="004A7EDA" w:rsidRPr="0061564D" w:rsidRDefault="004A7EDA" w:rsidP="00991083">
            <w:pPr>
              <w:pStyle w:val="TableCopy"/>
            </w:pPr>
            <w:r w:rsidRPr="0061564D">
              <w:t xml:space="preserve">Lower result because the expanded suite of Jobs Victoria services announced in November 2020 was in the process of scaling up in the first part of 2021. </w:t>
            </w:r>
          </w:p>
        </w:tc>
      </w:tr>
      <w:tr w:rsidR="004A7EDA" w:rsidRPr="004A7EDA" w14:paraId="130A2418" w14:textId="77777777" w:rsidTr="000143B1">
        <w:trPr>
          <w:trHeight w:val="113"/>
        </w:trPr>
        <w:tc>
          <w:tcPr>
            <w:tcW w:w="4479" w:type="dxa"/>
            <w:shd w:val="clear" w:color="auto" w:fill="auto"/>
            <w:tcMar>
              <w:top w:w="113" w:type="dxa"/>
              <w:left w:w="28" w:type="dxa"/>
              <w:bottom w:w="113" w:type="dxa"/>
              <w:right w:w="28" w:type="dxa"/>
            </w:tcMar>
          </w:tcPr>
          <w:p w14:paraId="6C64401C" w14:textId="77777777" w:rsidR="004A7EDA" w:rsidRPr="0061564D" w:rsidRDefault="004A7EDA" w:rsidP="00991083">
            <w:pPr>
              <w:pStyle w:val="TableCopy"/>
            </w:pPr>
            <w:r w:rsidRPr="0061564D">
              <w:t>Firms assisted from industry growth programs</w:t>
            </w:r>
          </w:p>
        </w:tc>
        <w:tc>
          <w:tcPr>
            <w:tcW w:w="964" w:type="dxa"/>
            <w:shd w:val="clear" w:color="auto" w:fill="auto"/>
            <w:tcMar>
              <w:top w:w="113" w:type="dxa"/>
              <w:left w:w="28" w:type="dxa"/>
              <w:bottom w:w="113" w:type="dxa"/>
              <w:right w:w="28" w:type="dxa"/>
            </w:tcMar>
          </w:tcPr>
          <w:p w14:paraId="5CFC64E3"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9B735E6" w14:textId="77777777" w:rsidR="004A7EDA" w:rsidRPr="004A7EDA" w:rsidRDefault="004A7EDA" w:rsidP="00991083">
            <w:pPr>
              <w:pStyle w:val="TableCopy"/>
              <w:rPr>
                <w:lang w:val="en-GB"/>
              </w:rPr>
            </w:pPr>
            <w:r w:rsidRPr="004A7EDA">
              <w:rPr>
                <w:lang w:val="en-GB"/>
              </w:rPr>
              <w:t>39</w:t>
            </w:r>
          </w:p>
        </w:tc>
        <w:tc>
          <w:tcPr>
            <w:tcW w:w="964" w:type="dxa"/>
            <w:shd w:val="clear" w:color="auto" w:fill="auto"/>
            <w:tcMar>
              <w:top w:w="113" w:type="dxa"/>
              <w:left w:w="28" w:type="dxa"/>
              <w:bottom w:w="113" w:type="dxa"/>
              <w:right w:w="28" w:type="dxa"/>
            </w:tcMar>
          </w:tcPr>
          <w:p w14:paraId="649BA5CC" w14:textId="77777777" w:rsidR="004A7EDA" w:rsidRPr="004A7EDA" w:rsidRDefault="004A7EDA" w:rsidP="00991083">
            <w:pPr>
              <w:pStyle w:val="TableCopy"/>
              <w:rPr>
                <w:lang w:val="en-GB"/>
              </w:rPr>
            </w:pPr>
            <w:r w:rsidRPr="004A7EDA">
              <w:rPr>
                <w:lang w:val="en-GB"/>
              </w:rPr>
              <w:t>25</w:t>
            </w:r>
          </w:p>
        </w:tc>
        <w:tc>
          <w:tcPr>
            <w:tcW w:w="1304" w:type="dxa"/>
            <w:shd w:val="clear" w:color="auto" w:fill="auto"/>
            <w:tcMar>
              <w:top w:w="113" w:type="dxa"/>
              <w:left w:w="28" w:type="dxa"/>
              <w:bottom w:w="113" w:type="dxa"/>
              <w:right w:w="28" w:type="dxa"/>
            </w:tcMar>
          </w:tcPr>
          <w:p w14:paraId="42347CDE" w14:textId="77777777" w:rsidR="004A7EDA" w:rsidRPr="004A7EDA" w:rsidRDefault="004A7EDA" w:rsidP="00991083">
            <w:pPr>
              <w:pStyle w:val="TableCopy"/>
              <w:rPr>
                <w:lang w:val="en-GB"/>
              </w:rPr>
            </w:pPr>
            <w:r w:rsidRPr="004A7EDA">
              <w:rPr>
                <w:lang w:val="en-GB"/>
              </w:rPr>
              <w:t>56.0%</w:t>
            </w:r>
          </w:p>
        </w:tc>
        <w:tc>
          <w:tcPr>
            <w:tcW w:w="964" w:type="dxa"/>
            <w:shd w:val="clear" w:color="auto" w:fill="auto"/>
            <w:tcMar>
              <w:top w:w="113" w:type="dxa"/>
              <w:left w:w="28" w:type="dxa"/>
              <w:bottom w:w="113" w:type="dxa"/>
              <w:right w:w="28" w:type="dxa"/>
            </w:tcMar>
          </w:tcPr>
          <w:p w14:paraId="72A730DB" w14:textId="622D4DDA" w:rsidR="004A7EDA" w:rsidRPr="004A7EDA" w:rsidRDefault="004A7EDA" w:rsidP="00991083">
            <w:pPr>
              <w:pStyle w:val="TableCopy"/>
              <w:rPr>
                <w:lang w:val="en-GB"/>
              </w:rPr>
            </w:pPr>
            <w:r>
              <w:rPr>
                <w:lang w:val="en-GB"/>
              </w:rPr>
              <w:t>*</w:t>
            </w:r>
          </w:p>
        </w:tc>
      </w:tr>
      <w:tr w:rsidR="004A7EDA" w:rsidRPr="004A7EDA" w14:paraId="26033926" w14:textId="77777777" w:rsidTr="000143B1">
        <w:trPr>
          <w:trHeight w:val="113"/>
        </w:trPr>
        <w:tc>
          <w:tcPr>
            <w:tcW w:w="9638" w:type="dxa"/>
            <w:gridSpan w:val="6"/>
            <w:shd w:val="clear" w:color="auto" w:fill="auto"/>
            <w:tcMar>
              <w:top w:w="113" w:type="dxa"/>
              <w:left w:w="113" w:type="dxa"/>
              <w:bottom w:w="113" w:type="dxa"/>
              <w:right w:w="113" w:type="dxa"/>
            </w:tcMar>
          </w:tcPr>
          <w:p w14:paraId="07175ACE" w14:textId="77777777" w:rsidR="004A7EDA" w:rsidRPr="0061564D" w:rsidRDefault="004A7EDA" w:rsidP="00991083">
            <w:pPr>
              <w:pStyle w:val="TableCopy"/>
            </w:pPr>
            <w:r w:rsidRPr="0061564D">
              <w:t>Higher result due to accelerated assistance to companies due to government’s response to COVID-19 and economic recovery stimulus.</w:t>
            </w:r>
          </w:p>
        </w:tc>
      </w:tr>
      <w:tr w:rsidR="004A7EDA" w:rsidRPr="004A7EDA" w14:paraId="457622A1" w14:textId="77777777" w:rsidTr="000143B1">
        <w:trPr>
          <w:trHeight w:val="113"/>
        </w:trPr>
        <w:tc>
          <w:tcPr>
            <w:tcW w:w="4479" w:type="dxa"/>
            <w:shd w:val="clear" w:color="auto" w:fill="auto"/>
            <w:tcMar>
              <w:top w:w="113" w:type="dxa"/>
              <w:left w:w="28" w:type="dxa"/>
              <w:bottom w:w="113" w:type="dxa"/>
              <w:right w:w="28" w:type="dxa"/>
            </w:tcMar>
          </w:tcPr>
          <w:p w14:paraId="64B43601" w14:textId="77777777" w:rsidR="004A7EDA" w:rsidRPr="0061564D" w:rsidRDefault="004A7EDA" w:rsidP="00991083">
            <w:pPr>
              <w:pStyle w:val="TableCopy"/>
            </w:pPr>
            <w:r w:rsidRPr="0061564D">
              <w:t>Industry stakeholders engaged with the Local Jobs</w:t>
            </w:r>
            <w:r w:rsidRPr="0061564D">
              <w:br/>
              <w:t>First Policy</w:t>
            </w:r>
          </w:p>
        </w:tc>
        <w:tc>
          <w:tcPr>
            <w:tcW w:w="964" w:type="dxa"/>
            <w:shd w:val="clear" w:color="auto" w:fill="auto"/>
            <w:tcMar>
              <w:top w:w="113" w:type="dxa"/>
              <w:left w:w="28" w:type="dxa"/>
              <w:bottom w:w="113" w:type="dxa"/>
              <w:right w:w="28" w:type="dxa"/>
            </w:tcMar>
          </w:tcPr>
          <w:p w14:paraId="70889DFA"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442162F3" w14:textId="77777777" w:rsidR="004A7EDA" w:rsidRPr="004A7EDA" w:rsidRDefault="004A7EDA" w:rsidP="00991083">
            <w:pPr>
              <w:pStyle w:val="TableCopy"/>
              <w:rPr>
                <w:lang w:val="en-GB"/>
              </w:rPr>
            </w:pPr>
            <w:r w:rsidRPr="004A7EDA">
              <w:rPr>
                <w:lang w:val="en-GB"/>
              </w:rPr>
              <w:t>1,456</w:t>
            </w:r>
          </w:p>
        </w:tc>
        <w:tc>
          <w:tcPr>
            <w:tcW w:w="964" w:type="dxa"/>
            <w:shd w:val="clear" w:color="auto" w:fill="auto"/>
            <w:tcMar>
              <w:top w:w="113" w:type="dxa"/>
              <w:left w:w="28" w:type="dxa"/>
              <w:bottom w:w="113" w:type="dxa"/>
              <w:right w:w="28" w:type="dxa"/>
            </w:tcMar>
          </w:tcPr>
          <w:p w14:paraId="4FDDEA1B" w14:textId="77777777" w:rsidR="004A7EDA" w:rsidRPr="004A7EDA" w:rsidRDefault="004A7EDA" w:rsidP="00991083">
            <w:pPr>
              <w:pStyle w:val="TableCopy"/>
              <w:rPr>
                <w:lang w:val="en-GB"/>
              </w:rPr>
            </w:pPr>
            <w:r w:rsidRPr="004A7EDA">
              <w:rPr>
                <w:lang w:val="en-GB"/>
              </w:rPr>
              <w:t>500</w:t>
            </w:r>
          </w:p>
        </w:tc>
        <w:tc>
          <w:tcPr>
            <w:tcW w:w="1304" w:type="dxa"/>
            <w:shd w:val="clear" w:color="auto" w:fill="auto"/>
            <w:tcMar>
              <w:top w:w="113" w:type="dxa"/>
              <w:left w:w="28" w:type="dxa"/>
              <w:bottom w:w="113" w:type="dxa"/>
              <w:right w:w="28" w:type="dxa"/>
            </w:tcMar>
          </w:tcPr>
          <w:p w14:paraId="0F6AE1E2" w14:textId="77777777" w:rsidR="004A7EDA" w:rsidRPr="004A7EDA" w:rsidRDefault="004A7EDA" w:rsidP="00991083">
            <w:pPr>
              <w:pStyle w:val="TableCopy"/>
              <w:rPr>
                <w:lang w:val="en-GB"/>
              </w:rPr>
            </w:pPr>
            <w:r w:rsidRPr="004A7EDA">
              <w:rPr>
                <w:lang w:val="en-GB"/>
              </w:rPr>
              <w:t>191.2%</w:t>
            </w:r>
          </w:p>
        </w:tc>
        <w:tc>
          <w:tcPr>
            <w:tcW w:w="964" w:type="dxa"/>
            <w:shd w:val="clear" w:color="auto" w:fill="auto"/>
            <w:tcMar>
              <w:top w:w="113" w:type="dxa"/>
              <w:left w:w="28" w:type="dxa"/>
              <w:bottom w:w="113" w:type="dxa"/>
              <w:right w:w="28" w:type="dxa"/>
            </w:tcMar>
          </w:tcPr>
          <w:p w14:paraId="126846F0" w14:textId="19C47EE3" w:rsidR="004A7EDA" w:rsidRPr="004A7EDA" w:rsidRDefault="004A7EDA" w:rsidP="00991083">
            <w:pPr>
              <w:pStyle w:val="TableCopy"/>
              <w:rPr>
                <w:lang w:val="en-GB"/>
              </w:rPr>
            </w:pPr>
            <w:r>
              <w:rPr>
                <w:lang w:val="en-GB"/>
              </w:rPr>
              <w:t>*</w:t>
            </w:r>
          </w:p>
        </w:tc>
      </w:tr>
      <w:tr w:rsidR="004A7EDA" w:rsidRPr="004A7EDA" w14:paraId="132E6FD0" w14:textId="77777777" w:rsidTr="000143B1">
        <w:trPr>
          <w:trHeight w:val="113"/>
        </w:trPr>
        <w:tc>
          <w:tcPr>
            <w:tcW w:w="9638" w:type="dxa"/>
            <w:gridSpan w:val="6"/>
            <w:shd w:val="clear" w:color="auto" w:fill="auto"/>
            <w:tcMar>
              <w:top w:w="113" w:type="dxa"/>
              <w:left w:w="113" w:type="dxa"/>
              <w:bottom w:w="113" w:type="dxa"/>
              <w:right w:w="113" w:type="dxa"/>
            </w:tcMar>
          </w:tcPr>
          <w:p w14:paraId="601B523A" w14:textId="77777777" w:rsidR="004A7EDA" w:rsidRPr="0061564D" w:rsidRDefault="004A7EDA" w:rsidP="00991083">
            <w:pPr>
              <w:pStyle w:val="TableCopy"/>
            </w:pPr>
            <w:r w:rsidRPr="0061564D">
              <w:t>Higher result due to accelerated assistance to companies due to government's response to COVID-19 and economic recovery stimulus.</w:t>
            </w:r>
          </w:p>
        </w:tc>
      </w:tr>
      <w:tr w:rsidR="004A7EDA" w:rsidRPr="004A7EDA" w14:paraId="1DF95EB2" w14:textId="77777777" w:rsidTr="000143B1">
        <w:trPr>
          <w:trHeight w:val="113"/>
        </w:trPr>
        <w:tc>
          <w:tcPr>
            <w:tcW w:w="4479" w:type="dxa"/>
            <w:shd w:val="clear" w:color="auto" w:fill="auto"/>
            <w:tcMar>
              <w:top w:w="113" w:type="dxa"/>
              <w:left w:w="28" w:type="dxa"/>
              <w:bottom w:w="113" w:type="dxa"/>
              <w:right w:w="28" w:type="dxa"/>
            </w:tcMar>
          </w:tcPr>
          <w:p w14:paraId="778431E3" w14:textId="77777777" w:rsidR="004A7EDA" w:rsidRPr="0061564D" w:rsidRDefault="004A7EDA" w:rsidP="00991083">
            <w:pPr>
              <w:pStyle w:val="TableCopy"/>
            </w:pPr>
            <w:r w:rsidRPr="0061564D">
              <w:t>Jobs created from industry growth programs</w:t>
            </w:r>
          </w:p>
        </w:tc>
        <w:tc>
          <w:tcPr>
            <w:tcW w:w="964" w:type="dxa"/>
            <w:shd w:val="clear" w:color="auto" w:fill="auto"/>
            <w:tcMar>
              <w:top w:w="113" w:type="dxa"/>
              <w:left w:w="28" w:type="dxa"/>
              <w:bottom w:w="113" w:type="dxa"/>
              <w:right w:w="28" w:type="dxa"/>
            </w:tcMar>
          </w:tcPr>
          <w:p w14:paraId="257ABB91"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707A64F1" w14:textId="77777777" w:rsidR="004A7EDA" w:rsidRPr="004A7EDA" w:rsidRDefault="004A7EDA" w:rsidP="00991083">
            <w:pPr>
              <w:pStyle w:val="TableCopy"/>
              <w:rPr>
                <w:lang w:val="en-GB"/>
              </w:rPr>
            </w:pPr>
            <w:r w:rsidRPr="004A7EDA">
              <w:rPr>
                <w:lang w:val="en-GB"/>
              </w:rPr>
              <w:t>2,282</w:t>
            </w:r>
          </w:p>
        </w:tc>
        <w:tc>
          <w:tcPr>
            <w:tcW w:w="964" w:type="dxa"/>
            <w:shd w:val="clear" w:color="auto" w:fill="auto"/>
            <w:tcMar>
              <w:top w:w="113" w:type="dxa"/>
              <w:left w:w="28" w:type="dxa"/>
              <w:bottom w:w="113" w:type="dxa"/>
              <w:right w:w="28" w:type="dxa"/>
            </w:tcMar>
          </w:tcPr>
          <w:p w14:paraId="227F6564" w14:textId="77777777" w:rsidR="004A7EDA" w:rsidRPr="004A7EDA" w:rsidRDefault="004A7EDA" w:rsidP="00991083">
            <w:pPr>
              <w:pStyle w:val="TableCopy"/>
              <w:rPr>
                <w:lang w:val="en-GB"/>
              </w:rPr>
            </w:pPr>
            <w:r w:rsidRPr="004A7EDA">
              <w:rPr>
                <w:lang w:val="en-GB"/>
              </w:rPr>
              <w:t>1,000</w:t>
            </w:r>
          </w:p>
        </w:tc>
        <w:tc>
          <w:tcPr>
            <w:tcW w:w="1304" w:type="dxa"/>
            <w:shd w:val="clear" w:color="auto" w:fill="auto"/>
            <w:tcMar>
              <w:top w:w="113" w:type="dxa"/>
              <w:left w:w="28" w:type="dxa"/>
              <w:bottom w:w="113" w:type="dxa"/>
              <w:right w:w="28" w:type="dxa"/>
            </w:tcMar>
          </w:tcPr>
          <w:p w14:paraId="0C618047" w14:textId="77777777" w:rsidR="004A7EDA" w:rsidRPr="004A7EDA" w:rsidRDefault="004A7EDA" w:rsidP="00991083">
            <w:pPr>
              <w:pStyle w:val="TableCopy"/>
              <w:rPr>
                <w:lang w:val="en-GB"/>
              </w:rPr>
            </w:pPr>
            <w:r w:rsidRPr="004A7EDA">
              <w:rPr>
                <w:lang w:val="en-GB"/>
              </w:rPr>
              <w:t>128.2%</w:t>
            </w:r>
          </w:p>
        </w:tc>
        <w:tc>
          <w:tcPr>
            <w:tcW w:w="964" w:type="dxa"/>
            <w:shd w:val="clear" w:color="auto" w:fill="auto"/>
            <w:tcMar>
              <w:top w:w="113" w:type="dxa"/>
              <w:left w:w="28" w:type="dxa"/>
              <w:bottom w:w="113" w:type="dxa"/>
              <w:right w:w="28" w:type="dxa"/>
            </w:tcMar>
          </w:tcPr>
          <w:p w14:paraId="1382DA32" w14:textId="1543FE34" w:rsidR="004A7EDA" w:rsidRPr="004A7EDA" w:rsidRDefault="0082401B" w:rsidP="00991083">
            <w:pPr>
              <w:pStyle w:val="TableCopy"/>
              <w:rPr>
                <w:lang w:val="en-GB"/>
              </w:rPr>
            </w:pPr>
            <w:r>
              <w:rPr>
                <w:lang w:val="en-GB"/>
              </w:rPr>
              <w:t>*</w:t>
            </w:r>
          </w:p>
        </w:tc>
      </w:tr>
      <w:tr w:rsidR="004A7EDA" w:rsidRPr="004A7EDA" w14:paraId="1A688FDC" w14:textId="77777777" w:rsidTr="000143B1">
        <w:trPr>
          <w:trHeight w:val="113"/>
        </w:trPr>
        <w:tc>
          <w:tcPr>
            <w:tcW w:w="9638" w:type="dxa"/>
            <w:gridSpan w:val="6"/>
            <w:shd w:val="clear" w:color="auto" w:fill="auto"/>
            <w:tcMar>
              <w:top w:w="113" w:type="dxa"/>
              <w:left w:w="113" w:type="dxa"/>
              <w:bottom w:w="113" w:type="dxa"/>
              <w:right w:w="113" w:type="dxa"/>
            </w:tcMar>
          </w:tcPr>
          <w:p w14:paraId="02B2A4CA" w14:textId="1D3A9769" w:rsidR="004A7EDA" w:rsidRPr="0061564D" w:rsidRDefault="004A7EDA" w:rsidP="00991083">
            <w:pPr>
              <w:pStyle w:val="TableCopy"/>
            </w:pPr>
            <w:r w:rsidRPr="0061564D">
              <w:t>Higher result due to higher amount of funding available to secure investment in 2020–21. Jobs are counted in the year the contract</w:t>
            </w:r>
            <w:r w:rsidR="002841E9" w:rsidRPr="0061564D">
              <w:t xml:space="preserve"> </w:t>
            </w:r>
            <w:r w:rsidRPr="0061564D">
              <w:t>is secured, though will be delivered over the life of the grant (generally two to five years).</w:t>
            </w:r>
          </w:p>
        </w:tc>
      </w:tr>
      <w:tr w:rsidR="004A7EDA" w:rsidRPr="004A7EDA" w14:paraId="5B9DB495" w14:textId="77777777" w:rsidTr="000143B1">
        <w:trPr>
          <w:trHeight w:val="113"/>
        </w:trPr>
        <w:tc>
          <w:tcPr>
            <w:tcW w:w="4479" w:type="dxa"/>
            <w:shd w:val="clear" w:color="auto" w:fill="auto"/>
            <w:tcMar>
              <w:top w:w="113" w:type="dxa"/>
              <w:left w:w="28" w:type="dxa"/>
              <w:bottom w:w="113" w:type="dxa"/>
              <w:right w:w="28" w:type="dxa"/>
            </w:tcMar>
          </w:tcPr>
          <w:p w14:paraId="3863A06C" w14:textId="77777777" w:rsidR="004A7EDA" w:rsidRPr="0061564D" w:rsidRDefault="004A7EDA" w:rsidP="00991083">
            <w:pPr>
              <w:pStyle w:val="TableCopy"/>
            </w:pPr>
            <w:r w:rsidRPr="0061564D">
              <w:t>Victoria’s market share of nominated investor</w:t>
            </w:r>
            <w:r w:rsidRPr="0061564D">
              <w:br/>
              <w:t>and business migrants</w:t>
            </w:r>
          </w:p>
        </w:tc>
        <w:tc>
          <w:tcPr>
            <w:tcW w:w="964" w:type="dxa"/>
            <w:shd w:val="clear" w:color="auto" w:fill="auto"/>
            <w:tcMar>
              <w:top w:w="113" w:type="dxa"/>
              <w:left w:w="28" w:type="dxa"/>
              <w:bottom w:w="113" w:type="dxa"/>
              <w:right w:w="28" w:type="dxa"/>
            </w:tcMar>
          </w:tcPr>
          <w:p w14:paraId="610E343C"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78F6DC4D" w14:textId="77777777" w:rsidR="004A7EDA" w:rsidRPr="004A7EDA" w:rsidRDefault="004A7EDA" w:rsidP="00991083">
            <w:pPr>
              <w:pStyle w:val="TableCopy"/>
              <w:rPr>
                <w:lang w:val="en-GB"/>
              </w:rPr>
            </w:pPr>
            <w:r w:rsidRPr="004A7EDA">
              <w:rPr>
                <w:lang w:val="en-GB"/>
              </w:rPr>
              <w:t>13.5</w:t>
            </w:r>
          </w:p>
        </w:tc>
        <w:tc>
          <w:tcPr>
            <w:tcW w:w="964" w:type="dxa"/>
            <w:shd w:val="clear" w:color="auto" w:fill="auto"/>
            <w:tcMar>
              <w:top w:w="113" w:type="dxa"/>
              <w:left w:w="28" w:type="dxa"/>
              <w:bottom w:w="113" w:type="dxa"/>
              <w:right w:w="28" w:type="dxa"/>
            </w:tcMar>
          </w:tcPr>
          <w:p w14:paraId="316E7580" w14:textId="77777777" w:rsidR="004A7EDA" w:rsidRPr="004A7EDA" w:rsidRDefault="004A7EDA" w:rsidP="00991083">
            <w:pPr>
              <w:pStyle w:val="TableCopy"/>
              <w:rPr>
                <w:lang w:val="en-GB"/>
              </w:rPr>
            </w:pPr>
            <w:r w:rsidRPr="004A7EDA">
              <w:rPr>
                <w:lang w:val="en-GB"/>
              </w:rPr>
              <w:t>45</w:t>
            </w:r>
          </w:p>
        </w:tc>
        <w:tc>
          <w:tcPr>
            <w:tcW w:w="1304" w:type="dxa"/>
            <w:shd w:val="clear" w:color="auto" w:fill="auto"/>
            <w:tcMar>
              <w:top w:w="113" w:type="dxa"/>
              <w:left w:w="28" w:type="dxa"/>
              <w:bottom w:w="113" w:type="dxa"/>
              <w:right w:w="28" w:type="dxa"/>
            </w:tcMar>
          </w:tcPr>
          <w:p w14:paraId="759E8F55" w14:textId="77777777" w:rsidR="004A7EDA" w:rsidRPr="004A7EDA" w:rsidRDefault="004A7EDA" w:rsidP="00991083">
            <w:pPr>
              <w:pStyle w:val="TableCopy"/>
              <w:rPr>
                <w:lang w:val="en-GB"/>
              </w:rPr>
            </w:pPr>
            <w:r w:rsidRPr="004A7EDA">
              <w:rPr>
                <w:lang w:val="en-GB"/>
              </w:rPr>
              <w:t>-70.0%</w:t>
            </w:r>
          </w:p>
        </w:tc>
        <w:tc>
          <w:tcPr>
            <w:tcW w:w="964" w:type="dxa"/>
            <w:shd w:val="clear" w:color="auto" w:fill="auto"/>
            <w:tcMar>
              <w:top w:w="113" w:type="dxa"/>
              <w:left w:w="28" w:type="dxa"/>
              <w:bottom w:w="113" w:type="dxa"/>
              <w:right w:w="28" w:type="dxa"/>
            </w:tcMar>
          </w:tcPr>
          <w:p w14:paraId="5EED95EE" w14:textId="1DBCB893" w:rsidR="004A7EDA" w:rsidRPr="004A7EDA" w:rsidRDefault="0082401B" w:rsidP="00991083">
            <w:pPr>
              <w:pStyle w:val="TableCopy"/>
              <w:rPr>
                <w:lang w:val="en-GB"/>
              </w:rPr>
            </w:pPr>
            <w:r>
              <w:rPr>
                <w:lang w:val="en-GB"/>
              </w:rPr>
              <w:t>#</w:t>
            </w:r>
          </w:p>
        </w:tc>
      </w:tr>
      <w:tr w:rsidR="004A7EDA" w:rsidRPr="004A7EDA" w14:paraId="5D349106" w14:textId="77777777" w:rsidTr="000143B1">
        <w:trPr>
          <w:trHeight w:val="113"/>
        </w:trPr>
        <w:tc>
          <w:tcPr>
            <w:tcW w:w="9638" w:type="dxa"/>
            <w:gridSpan w:val="6"/>
            <w:shd w:val="clear" w:color="auto" w:fill="auto"/>
            <w:tcMar>
              <w:top w:w="113" w:type="dxa"/>
              <w:left w:w="113" w:type="dxa"/>
              <w:bottom w:w="113" w:type="dxa"/>
              <w:right w:w="113" w:type="dxa"/>
            </w:tcMar>
          </w:tcPr>
          <w:p w14:paraId="4C25B243" w14:textId="77777777" w:rsidR="004A7EDA" w:rsidRPr="0061564D" w:rsidRDefault="004A7EDA" w:rsidP="00991083">
            <w:pPr>
              <w:pStyle w:val="TableCopy"/>
            </w:pPr>
            <w:r w:rsidRPr="0061564D">
              <w:t>Lower result is due to a range of factors, including the number of business and investor migration places allocated to Victoria by the Commonwealth and a program focus on attracting high-quality skilled, business and investor talent who can support innovation and job creation in strategic sectors. The ‘Victoria’s market share of nominated investor and business migrants’ performance measure has been discontinued and replaced by the 2021–22 performance measure ‘Migrant talent nominated for the Skilled, Investor and Business Migration Program’ to better reflect the Victorian Government’s performance in nominating talent to migrate to Victoria.</w:t>
            </w:r>
          </w:p>
        </w:tc>
      </w:tr>
      <w:tr w:rsidR="004A7EDA" w:rsidRPr="000143B1" w14:paraId="29D5DCD7" w14:textId="77777777" w:rsidTr="000143B1">
        <w:trPr>
          <w:trHeight w:val="113"/>
        </w:trPr>
        <w:tc>
          <w:tcPr>
            <w:tcW w:w="9638" w:type="dxa"/>
            <w:gridSpan w:val="6"/>
            <w:shd w:val="clear" w:color="auto" w:fill="auto"/>
            <w:tcMar>
              <w:top w:w="113" w:type="dxa"/>
              <w:left w:w="28" w:type="dxa"/>
              <w:bottom w:w="113" w:type="dxa"/>
              <w:right w:w="28" w:type="dxa"/>
            </w:tcMar>
          </w:tcPr>
          <w:p w14:paraId="44AC8778" w14:textId="77777777" w:rsidR="004A7EDA" w:rsidRPr="000143B1" w:rsidRDefault="004A7EDA" w:rsidP="00991083">
            <w:pPr>
              <w:pStyle w:val="TableCopy"/>
            </w:pPr>
            <w:r w:rsidRPr="000143B1">
              <w:t>Quality</w:t>
            </w:r>
          </w:p>
        </w:tc>
      </w:tr>
      <w:tr w:rsidR="004A7EDA" w:rsidRPr="004A7EDA" w14:paraId="344D6B34" w14:textId="77777777" w:rsidTr="000143B1">
        <w:trPr>
          <w:trHeight w:val="113"/>
        </w:trPr>
        <w:tc>
          <w:tcPr>
            <w:tcW w:w="4479" w:type="dxa"/>
            <w:shd w:val="clear" w:color="auto" w:fill="auto"/>
            <w:tcMar>
              <w:top w:w="113" w:type="dxa"/>
              <w:left w:w="28" w:type="dxa"/>
              <w:bottom w:w="113" w:type="dxa"/>
              <w:right w:w="28" w:type="dxa"/>
            </w:tcMar>
          </w:tcPr>
          <w:p w14:paraId="0C85DA35" w14:textId="77777777" w:rsidR="004A7EDA" w:rsidRPr="0061564D" w:rsidRDefault="004A7EDA" w:rsidP="00991083">
            <w:pPr>
              <w:pStyle w:val="TableCopy"/>
            </w:pPr>
            <w:r w:rsidRPr="0061564D">
              <w:t>Client satisfaction with investor, business and skilled migration services provided</w:t>
            </w:r>
          </w:p>
        </w:tc>
        <w:tc>
          <w:tcPr>
            <w:tcW w:w="964" w:type="dxa"/>
            <w:shd w:val="clear" w:color="auto" w:fill="auto"/>
            <w:tcMar>
              <w:top w:w="113" w:type="dxa"/>
              <w:left w:w="28" w:type="dxa"/>
              <w:bottom w:w="113" w:type="dxa"/>
              <w:right w:w="28" w:type="dxa"/>
            </w:tcMar>
          </w:tcPr>
          <w:p w14:paraId="0610DC47"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4FDF4C09" w14:textId="77777777" w:rsidR="004A7EDA" w:rsidRPr="004A7EDA" w:rsidRDefault="004A7EDA" w:rsidP="00991083">
            <w:pPr>
              <w:pStyle w:val="TableCopy"/>
              <w:rPr>
                <w:lang w:val="en-GB"/>
              </w:rPr>
            </w:pPr>
            <w:r w:rsidRPr="004A7EDA">
              <w:rPr>
                <w:lang w:val="en-GB"/>
              </w:rPr>
              <w:t>88</w:t>
            </w:r>
          </w:p>
        </w:tc>
        <w:tc>
          <w:tcPr>
            <w:tcW w:w="964" w:type="dxa"/>
            <w:shd w:val="clear" w:color="auto" w:fill="auto"/>
            <w:tcMar>
              <w:top w:w="113" w:type="dxa"/>
              <w:left w:w="28" w:type="dxa"/>
              <w:bottom w:w="113" w:type="dxa"/>
              <w:right w:w="28" w:type="dxa"/>
            </w:tcMar>
          </w:tcPr>
          <w:p w14:paraId="4474D09B" w14:textId="77777777" w:rsidR="004A7EDA" w:rsidRPr="004A7EDA" w:rsidRDefault="004A7EDA" w:rsidP="00991083">
            <w:pPr>
              <w:pStyle w:val="TableCopy"/>
              <w:rPr>
                <w:lang w:val="en-GB"/>
              </w:rPr>
            </w:pPr>
            <w:r w:rsidRPr="004A7EDA">
              <w:rPr>
                <w:lang w:val="en-GB"/>
              </w:rPr>
              <w:t>85</w:t>
            </w:r>
          </w:p>
        </w:tc>
        <w:tc>
          <w:tcPr>
            <w:tcW w:w="1304" w:type="dxa"/>
            <w:shd w:val="clear" w:color="auto" w:fill="auto"/>
            <w:tcMar>
              <w:top w:w="113" w:type="dxa"/>
              <w:left w:w="28" w:type="dxa"/>
              <w:bottom w:w="113" w:type="dxa"/>
              <w:right w:w="28" w:type="dxa"/>
            </w:tcMar>
          </w:tcPr>
          <w:p w14:paraId="5073B442" w14:textId="77777777" w:rsidR="004A7EDA" w:rsidRPr="004A7EDA" w:rsidRDefault="004A7EDA" w:rsidP="00991083">
            <w:pPr>
              <w:pStyle w:val="TableCopy"/>
              <w:rPr>
                <w:lang w:val="en-GB"/>
              </w:rPr>
            </w:pPr>
            <w:r w:rsidRPr="004A7EDA">
              <w:rPr>
                <w:lang w:val="en-GB"/>
              </w:rPr>
              <w:t>3.5%</w:t>
            </w:r>
          </w:p>
        </w:tc>
        <w:tc>
          <w:tcPr>
            <w:tcW w:w="964" w:type="dxa"/>
            <w:shd w:val="clear" w:color="auto" w:fill="auto"/>
            <w:tcMar>
              <w:top w:w="113" w:type="dxa"/>
              <w:left w:w="28" w:type="dxa"/>
              <w:bottom w:w="113" w:type="dxa"/>
              <w:right w:w="28" w:type="dxa"/>
            </w:tcMar>
          </w:tcPr>
          <w:p w14:paraId="01D71BAD" w14:textId="1F5EB59E" w:rsidR="004A7EDA" w:rsidRPr="004A7EDA" w:rsidRDefault="004A7EDA" w:rsidP="00991083">
            <w:pPr>
              <w:pStyle w:val="TableCopy"/>
              <w:rPr>
                <w:lang w:val="en-GB"/>
              </w:rPr>
            </w:pPr>
            <w:r>
              <w:rPr>
                <w:lang w:val="en-GB"/>
              </w:rPr>
              <w:t>*</w:t>
            </w:r>
          </w:p>
        </w:tc>
      </w:tr>
      <w:tr w:rsidR="004A7EDA" w:rsidRPr="004A7EDA" w14:paraId="0E9D9310" w14:textId="77777777" w:rsidTr="000143B1">
        <w:trPr>
          <w:trHeight w:val="113"/>
        </w:trPr>
        <w:tc>
          <w:tcPr>
            <w:tcW w:w="9638" w:type="dxa"/>
            <w:gridSpan w:val="6"/>
            <w:shd w:val="clear" w:color="auto" w:fill="auto"/>
            <w:tcMar>
              <w:top w:w="113" w:type="dxa"/>
              <w:left w:w="28" w:type="dxa"/>
              <w:bottom w:w="113" w:type="dxa"/>
              <w:right w:w="28" w:type="dxa"/>
            </w:tcMar>
          </w:tcPr>
          <w:p w14:paraId="19167BF1" w14:textId="77777777" w:rsidR="004A7EDA" w:rsidRPr="0061564D" w:rsidRDefault="004A7EDA" w:rsidP="00991083">
            <w:pPr>
              <w:pStyle w:val="TableCopy"/>
            </w:pPr>
            <w:r w:rsidRPr="0061564D">
              <w:lastRenderedPageBreak/>
              <w:t>Timeliness</w:t>
            </w:r>
          </w:p>
        </w:tc>
      </w:tr>
      <w:tr w:rsidR="004A7EDA" w:rsidRPr="004A7EDA" w14:paraId="436B6973" w14:textId="77777777" w:rsidTr="000143B1">
        <w:trPr>
          <w:trHeight w:val="113"/>
        </w:trPr>
        <w:tc>
          <w:tcPr>
            <w:tcW w:w="4479" w:type="dxa"/>
            <w:shd w:val="clear" w:color="auto" w:fill="auto"/>
            <w:tcMar>
              <w:top w:w="113" w:type="dxa"/>
              <w:left w:w="28" w:type="dxa"/>
              <w:bottom w:w="113" w:type="dxa"/>
              <w:right w:w="28" w:type="dxa"/>
            </w:tcMar>
          </w:tcPr>
          <w:p w14:paraId="4E1F7D5E" w14:textId="77777777" w:rsidR="004A7EDA" w:rsidRPr="0061564D" w:rsidRDefault="004A7EDA" w:rsidP="00991083">
            <w:pPr>
              <w:pStyle w:val="TableCopy"/>
            </w:pPr>
            <w:r w:rsidRPr="0061564D">
              <w:t xml:space="preserve">Average processing time for investor, </w:t>
            </w:r>
            <w:proofErr w:type="gramStart"/>
            <w:r w:rsidRPr="0061564D">
              <w:t>business</w:t>
            </w:r>
            <w:proofErr w:type="gramEnd"/>
            <w:r w:rsidRPr="0061564D">
              <w:t xml:space="preserve"> and skilled migration visa nomination applications</w:t>
            </w:r>
          </w:p>
        </w:tc>
        <w:tc>
          <w:tcPr>
            <w:tcW w:w="964" w:type="dxa"/>
            <w:shd w:val="clear" w:color="auto" w:fill="auto"/>
            <w:tcMar>
              <w:top w:w="113" w:type="dxa"/>
              <w:left w:w="28" w:type="dxa"/>
              <w:bottom w:w="113" w:type="dxa"/>
              <w:right w:w="28" w:type="dxa"/>
            </w:tcMar>
          </w:tcPr>
          <w:p w14:paraId="29194D9A" w14:textId="77777777" w:rsidR="004A7EDA" w:rsidRPr="004A7EDA" w:rsidRDefault="004A7EDA" w:rsidP="00991083">
            <w:pPr>
              <w:pStyle w:val="TableCopy"/>
              <w:rPr>
                <w:lang w:val="en-GB"/>
              </w:rPr>
            </w:pPr>
            <w:r w:rsidRPr="004A7EDA">
              <w:rPr>
                <w:lang w:val="en-GB"/>
              </w:rPr>
              <w:t>days</w:t>
            </w:r>
          </w:p>
        </w:tc>
        <w:tc>
          <w:tcPr>
            <w:tcW w:w="963" w:type="dxa"/>
            <w:shd w:val="clear" w:color="auto" w:fill="auto"/>
            <w:tcMar>
              <w:top w:w="113" w:type="dxa"/>
              <w:left w:w="28" w:type="dxa"/>
              <w:bottom w:w="113" w:type="dxa"/>
              <w:right w:w="28" w:type="dxa"/>
            </w:tcMar>
          </w:tcPr>
          <w:p w14:paraId="4AC2C73D" w14:textId="77777777" w:rsidR="004A7EDA" w:rsidRPr="004A7EDA" w:rsidRDefault="004A7EDA" w:rsidP="00991083">
            <w:pPr>
              <w:pStyle w:val="TableCopy"/>
              <w:rPr>
                <w:lang w:val="en-GB"/>
              </w:rPr>
            </w:pPr>
            <w:r w:rsidRPr="004A7EDA">
              <w:rPr>
                <w:lang w:val="en-GB"/>
              </w:rPr>
              <w:t>16.2</w:t>
            </w:r>
          </w:p>
        </w:tc>
        <w:tc>
          <w:tcPr>
            <w:tcW w:w="964" w:type="dxa"/>
            <w:shd w:val="clear" w:color="auto" w:fill="auto"/>
            <w:tcMar>
              <w:top w:w="113" w:type="dxa"/>
              <w:left w:w="28" w:type="dxa"/>
              <w:bottom w:w="113" w:type="dxa"/>
              <w:right w:w="28" w:type="dxa"/>
            </w:tcMar>
          </w:tcPr>
          <w:p w14:paraId="2D625524" w14:textId="77777777" w:rsidR="004A7EDA" w:rsidRPr="004A7EDA" w:rsidRDefault="004A7EDA" w:rsidP="00991083">
            <w:pPr>
              <w:pStyle w:val="TableCopy"/>
              <w:rPr>
                <w:lang w:val="en-GB"/>
              </w:rPr>
            </w:pPr>
            <w:r w:rsidRPr="004A7EDA">
              <w:rPr>
                <w:lang w:val="en-GB"/>
              </w:rPr>
              <w:t>20</w:t>
            </w:r>
          </w:p>
        </w:tc>
        <w:tc>
          <w:tcPr>
            <w:tcW w:w="1304" w:type="dxa"/>
            <w:shd w:val="clear" w:color="auto" w:fill="auto"/>
            <w:tcMar>
              <w:top w:w="113" w:type="dxa"/>
              <w:left w:w="28" w:type="dxa"/>
              <w:bottom w:w="113" w:type="dxa"/>
              <w:right w:w="28" w:type="dxa"/>
            </w:tcMar>
          </w:tcPr>
          <w:p w14:paraId="306901B9" w14:textId="77777777" w:rsidR="004A7EDA" w:rsidRPr="004A7EDA" w:rsidRDefault="004A7EDA" w:rsidP="00991083">
            <w:pPr>
              <w:pStyle w:val="TableCopy"/>
              <w:rPr>
                <w:lang w:val="en-GB"/>
              </w:rPr>
            </w:pPr>
            <w:r w:rsidRPr="004A7EDA">
              <w:rPr>
                <w:lang w:val="en-GB"/>
              </w:rPr>
              <w:t>19.0%</w:t>
            </w:r>
          </w:p>
        </w:tc>
        <w:tc>
          <w:tcPr>
            <w:tcW w:w="964" w:type="dxa"/>
            <w:shd w:val="clear" w:color="auto" w:fill="auto"/>
            <w:tcMar>
              <w:top w:w="113" w:type="dxa"/>
              <w:left w:w="28" w:type="dxa"/>
              <w:bottom w:w="113" w:type="dxa"/>
              <w:right w:w="28" w:type="dxa"/>
            </w:tcMar>
          </w:tcPr>
          <w:p w14:paraId="4773E029" w14:textId="7834A26E" w:rsidR="004A7EDA" w:rsidRPr="004A7EDA" w:rsidRDefault="004A7EDA" w:rsidP="00991083">
            <w:pPr>
              <w:pStyle w:val="TableCopy"/>
              <w:rPr>
                <w:lang w:val="en-GB"/>
              </w:rPr>
            </w:pPr>
            <w:r>
              <w:rPr>
                <w:lang w:val="en-GB"/>
              </w:rPr>
              <w:t>*</w:t>
            </w:r>
          </w:p>
        </w:tc>
      </w:tr>
      <w:tr w:rsidR="004A7EDA" w:rsidRPr="004A7EDA" w14:paraId="7DABE0D8" w14:textId="77777777" w:rsidTr="000143B1">
        <w:trPr>
          <w:trHeight w:val="113"/>
        </w:trPr>
        <w:tc>
          <w:tcPr>
            <w:tcW w:w="9638" w:type="dxa"/>
            <w:gridSpan w:val="6"/>
            <w:shd w:val="clear" w:color="auto" w:fill="auto"/>
            <w:tcMar>
              <w:top w:w="113" w:type="dxa"/>
              <w:left w:w="113" w:type="dxa"/>
              <w:bottom w:w="113" w:type="dxa"/>
              <w:right w:w="113" w:type="dxa"/>
            </w:tcMar>
          </w:tcPr>
          <w:p w14:paraId="0AB9317B" w14:textId="77777777" w:rsidR="004A7EDA" w:rsidRPr="0061564D" w:rsidRDefault="004A7EDA" w:rsidP="00991083">
            <w:pPr>
              <w:pStyle w:val="TableCopy"/>
            </w:pPr>
            <w:r w:rsidRPr="0061564D">
              <w:t xml:space="preserve">This measure is considered met if the actual is below the target, and the measure requires applications to be processed within 20 business days. The department was required to deliver a full year program in only six months as the Commonwealth Government provided final state allocations in December 2020. Applications were processed more quickly as more resources were dedicated to assessment of applications. </w:t>
            </w:r>
          </w:p>
        </w:tc>
      </w:tr>
      <w:tr w:rsidR="004A7EDA" w:rsidRPr="004A7EDA" w14:paraId="67729805" w14:textId="77777777" w:rsidTr="000143B1">
        <w:trPr>
          <w:trHeight w:val="113"/>
        </w:trPr>
        <w:tc>
          <w:tcPr>
            <w:tcW w:w="9638" w:type="dxa"/>
            <w:gridSpan w:val="6"/>
            <w:shd w:val="clear" w:color="auto" w:fill="auto"/>
            <w:tcMar>
              <w:top w:w="113" w:type="dxa"/>
              <w:left w:w="28" w:type="dxa"/>
              <w:bottom w:w="113" w:type="dxa"/>
              <w:right w:w="28" w:type="dxa"/>
            </w:tcMar>
          </w:tcPr>
          <w:p w14:paraId="45DDC245" w14:textId="77777777" w:rsidR="004A7EDA" w:rsidRPr="0061564D" w:rsidRDefault="004A7EDA" w:rsidP="00991083">
            <w:pPr>
              <w:pStyle w:val="TableCopy"/>
            </w:pPr>
            <w:r w:rsidRPr="0061564D">
              <w:t>Cost</w:t>
            </w:r>
          </w:p>
        </w:tc>
      </w:tr>
      <w:tr w:rsidR="004A7EDA" w:rsidRPr="00EA2E03" w14:paraId="5FEDFBB4" w14:textId="77777777" w:rsidTr="000143B1">
        <w:trPr>
          <w:trHeight w:val="113"/>
        </w:trPr>
        <w:tc>
          <w:tcPr>
            <w:tcW w:w="4479" w:type="dxa"/>
            <w:shd w:val="clear" w:color="auto" w:fill="auto"/>
            <w:tcMar>
              <w:top w:w="113" w:type="dxa"/>
              <w:left w:w="28" w:type="dxa"/>
              <w:bottom w:w="113" w:type="dxa"/>
              <w:right w:w="28" w:type="dxa"/>
            </w:tcMar>
          </w:tcPr>
          <w:p w14:paraId="323EF88B" w14:textId="77777777" w:rsidR="004A7EDA" w:rsidRPr="00EA2E03" w:rsidRDefault="004A7EDA" w:rsidP="00991083">
            <w:pPr>
              <w:pStyle w:val="TableCopy"/>
            </w:pPr>
            <w:r w:rsidRPr="00EA2E03">
              <w:t>Total output cost</w:t>
            </w:r>
          </w:p>
        </w:tc>
        <w:tc>
          <w:tcPr>
            <w:tcW w:w="964" w:type="dxa"/>
            <w:shd w:val="clear" w:color="auto" w:fill="auto"/>
            <w:tcMar>
              <w:top w:w="113" w:type="dxa"/>
              <w:left w:w="28" w:type="dxa"/>
              <w:bottom w:w="113" w:type="dxa"/>
              <w:right w:w="28" w:type="dxa"/>
            </w:tcMar>
          </w:tcPr>
          <w:p w14:paraId="34D1C895" w14:textId="77777777" w:rsidR="004A7EDA" w:rsidRPr="00EA2E03" w:rsidRDefault="004A7EDA" w:rsidP="00991083">
            <w:pPr>
              <w:pStyle w:val="TableCopy"/>
            </w:pPr>
            <w:r w:rsidRPr="00EA2E03">
              <w:t>$ million</w:t>
            </w:r>
          </w:p>
        </w:tc>
        <w:tc>
          <w:tcPr>
            <w:tcW w:w="963" w:type="dxa"/>
            <w:shd w:val="clear" w:color="auto" w:fill="auto"/>
            <w:tcMar>
              <w:top w:w="113" w:type="dxa"/>
              <w:left w:w="28" w:type="dxa"/>
              <w:bottom w:w="113" w:type="dxa"/>
              <w:right w:w="28" w:type="dxa"/>
            </w:tcMar>
          </w:tcPr>
          <w:p w14:paraId="6F08DF08" w14:textId="77777777" w:rsidR="004A7EDA" w:rsidRPr="00EA2E03" w:rsidRDefault="004A7EDA" w:rsidP="00991083">
            <w:pPr>
              <w:pStyle w:val="TableCopy"/>
            </w:pPr>
            <w:r w:rsidRPr="00EA2E03">
              <w:t>2,874.9</w:t>
            </w:r>
          </w:p>
        </w:tc>
        <w:tc>
          <w:tcPr>
            <w:tcW w:w="964" w:type="dxa"/>
            <w:shd w:val="clear" w:color="auto" w:fill="auto"/>
            <w:tcMar>
              <w:top w:w="113" w:type="dxa"/>
              <w:left w:w="28" w:type="dxa"/>
              <w:bottom w:w="113" w:type="dxa"/>
              <w:right w:w="28" w:type="dxa"/>
            </w:tcMar>
          </w:tcPr>
          <w:p w14:paraId="42612D1E" w14:textId="77777777" w:rsidR="004A7EDA" w:rsidRPr="00EA2E03" w:rsidRDefault="004A7EDA" w:rsidP="00991083">
            <w:pPr>
              <w:pStyle w:val="TableCopy"/>
            </w:pPr>
            <w:r w:rsidRPr="00EA2E03">
              <w:t>2,897.5</w:t>
            </w:r>
          </w:p>
        </w:tc>
        <w:tc>
          <w:tcPr>
            <w:tcW w:w="1304" w:type="dxa"/>
            <w:shd w:val="clear" w:color="auto" w:fill="auto"/>
            <w:tcMar>
              <w:top w:w="113" w:type="dxa"/>
              <w:left w:w="28" w:type="dxa"/>
              <w:bottom w:w="113" w:type="dxa"/>
              <w:right w:w="28" w:type="dxa"/>
            </w:tcMar>
          </w:tcPr>
          <w:p w14:paraId="250CB171" w14:textId="77777777" w:rsidR="004A7EDA" w:rsidRPr="00EA2E03" w:rsidRDefault="004A7EDA" w:rsidP="00991083">
            <w:pPr>
              <w:pStyle w:val="TableCopy"/>
            </w:pPr>
            <w:r w:rsidRPr="00EA2E03">
              <w:t>-0.8%</w:t>
            </w:r>
          </w:p>
        </w:tc>
        <w:tc>
          <w:tcPr>
            <w:tcW w:w="964" w:type="dxa"/>
            <w:shd w:val="clear" w:color="auto" w:fill="auto"/>
            <w:tcMar>
              <w:top w:w="113" w:type="dxa"/>
              <w:left w:w="28" w:type="dxa"/>
              <w:bottom w:w="113" w:type="dxa"/>
              <w:right w:w="28" w:type="dxa"/>
            </w:tcMar>
          </w:tcPr>
          <w:p w14:paraId="72FFF1D9" w14:textId="6C9AA38E" w:rsidR="004A7EDA" w:rsidRPr="00EA2E03" w:rsidRDefault="004A7EDA" w:rsidP="00991083">
            <w:pPr>
              <w:pStyle w:val="TableCopy"/>
            </w:pPr>
            <w:r w:rsidRPr="00EA2E03">
              <w:t>*</w:t>
            </w:r>
          </w:p>
        </w:tc>
      </w:tr>
    </w:tbl>
    <w:p w14:paraId="24A4434A" w14:textId="7C7EEF0A" w:rsidR="004A7EDA" w:rsidRPr="004A7EDA" w:rsidRDefault="00991083" w:rsidP="004A7EDA">
      <w:pPr>
        <w:rPr>
          <w:lang w:val="en-GB"/>
        </w:rPr>
      </w:pPr>
      <w:r w:rsidRPr="0061564D">
        <w:t>Note:</w:t>
      </w:r>
      <w:r w:rsidRPr="0061564D">
        <w:t> </w:t>
      </w:r>
      <w:r w:rsidRPr="0061564D">
        <w:br/>
        <w:t>* Performance target achieved or exceeded</w:t>
      </w:r>
      <w:r w:rsidRPr="0061564D">
        <w:br/>
        <w:t>- Performance target not achieved – within 5 per cent variance</w:t>
      </w:r>
      <w:r w:rsidRPr="0061564D">
        <w:br/>
        <w:t># Performance target not achieved – exceeds 5 per cent variance</w:t>
      </w:r>
    </w:p>
    <w:p w14:paraId="4CB63896" w14:textId="77777777" w:rsidR="004A7EDA" w:rsidRPr="004A7EDA" w:rsidRDefault="004A7EDA" w:rsidP="0042727B">
      <w:pPr>
        <w:pStyle w:val="Heading1"/>
        <w:rPr>
          <w:lang w:val="en-GB"/>
        </w:rPr>
      </w:pPr>
      <w:bookmarkStart w:id="5" w:name="_Toc87011066"/>
      <w:r w:rsidRPr="004A7EDA">
        <w:rPr>
          <w:lang w:val="en-GB"/>
        </w:rPr>
        <w:t xml:space="preserve">Objective 2: Foster a competitive </w:t>
      </w:r>
      <w:r w:rsidRPr="0042727B">
        <w:t>business</w:t>
      </w:r>
      <w:r w:rsidRPr="004A7EDA">
        <w:rPr>
          <w:lang w:val="en-GB"/>
        </w:rPr>
        <w:t xml:space="preserve"> environment</w:t>
      </w:r>
      <w:bookmarkEnd w:id="5"/>
    </w:p>
    <w:p w14:paraId="05A5B002" w14:textId="77777777" w:rsidR="004A7EDA" w:rsidRPr="004A7EDA" w:rsidRDefault="004A7EDA" w:rsidP="004A7EDA">
      <w:pPr>
        <w:rPr>
          <w:lang w:val="en-GB"/>
        </w:rPr>
      </w:pPr>
      <w:r w:rsidRPr="004A7EDA">
        <w:rPr>
          <w:lang w:val="en-GB"/>
        </w:rPr>
        <w:t xml:space="preserve">This objective seeks to grow Victorian industries and businesses by working with priority industry sectors, supporting growth and innovation opportunities for industry, supporting </w:t>
      </w:r>
      <w:proofErr w:type="spellStart"/>
      <w:r w:rsidRPr="004A7EDA">
        <w:rPr>
          <w:lang w:val="en-GB"/>
        </w:rPr>
        <w:t>startups</w:t>
      </w:r>
      <w:proofErr w:type="spellEnd"/>
      <w:r w:rsidRPr="004A7EDA">
        <w:rPr>
          <w:lang w:val="en-GB"/>
        </w:rPr>
        <w:t xml:space="preserve"> and small businesses, and assisting industries in transition.</w:t>
      </w:r>
    </w:p>
    <w:p w14:paraId="6D08E141" w14:textId="220B3EA7" w:rsidR="004A7EDA" w:rsidRPr="004A7EDA" w:rsidRDefault="004A7EDA" w:rsidP="002841E9">
      <w:pPr>
        <w:pStyle w:val="Heading2"/>
        <w:rPr>
          <w:lang w:val="en-GB"/>
        </w:rPr>
      </w:pPr>
      <w:bookmarkStart w:id="6" w:name="_Toc87011067"/>
      <w:r w:rsidRPr="004A7EDA">
        <w:rPr>
          <w:lang w:val="en-GB"/>
        </w:rPr>
        <w:t xml:space="preserve">Progress towards </w:t>
      </w:r>
      <w:r w:rsidRPr="002841E9">
        <w:t>achieving</w:t>
      </w:r>
      <w:r w:rsidR="0082401B">
        <w:rPr>
          <w:lang w:val="en-GB"/>
        </w:rPr>
        <w:t xml:space="preserve"> </w:t>
      </w:r>
      <w:r w:rsidRPr="004A7EDA">
        <w:rPr>
          <w:lang w:val="en-GB"/>
        </w:rPr>
        <w:t>this objective</w:t>
      </w:r>
      <w:bookmarkEnd w:id="6"/>
    </w:p>
    <w:p w14:paraId="08B65B33" w14:textId="77777777" w:rsidR="004A7EDA" w:rsidRPr="004A7EDA" w:rsidRDefault="004A7EDA" w:rsidP="004A7EDA">
      <w:pPr>
        <w:rPr>
          <w:lang w:val="en-GB"/>
        </w:rPr>
      </w:pPr>
      <w:r w:rsidRPr="004A7EDA">
        <w:rPr>
          <w:lang w:val="en-GB"/>
        </w:rPr>
        <w:t>In 2020–21, the department reported progress against this objective using the following objective indicators and outputs:</w:t>
      </w:r>
    </w:p>
    <w:p w14:paraId="56D56C3F" w14:textId="77777777" w:rsidR="004A7EDA" w:rsidRPr="004A7EDA" w:rsidRDefault="004A7EDA" w:rsidP="002841E9">
      <w:pPr>
        <w:pStyle w:val="Heading3"/>
        <w:rPr>
          <w:lang w:val="en-GB"/>
        </w:rPr>
      </w:pPr>
      <w:bookmarkStart w:id="7" w:name="_Toc87011068"/>
      <w:r w:rsidRPr="004A7EDA">
        <w:rPr>
          <w:lang w:val="en-GB"/>
        </w:rPr>
        <w:t>Objective Indicators</w:t>
      </w:r>
      <w:bookmarkEnd w:id="7"/>
    </w:p>
    <w:p w14:paraId="54A699FB" w14:textId="77777777" w:rsidR="004A7EDA" w:rsidRPr="004A7EDA" w:rsidRDefault="004A7EDA" w:rsidP="002841E9">
      <w:pPr>
        <w:pStyle w:val="TableBullet"/>
        <w:rPr>
          <w:lang w:val="en-GB"/>
        </w:rPr>
      </w:pPr>
      <w:r w:rsidRPr="004A7EDA">
        <w:rPr>
          <w:lang w:val="en-GB"/>
        </w:rPr>
        <w:t>Change in Victoria’s real gross state product</w:t>
      </w:r>
    </w:p>
    <w:p w14:paraId="166E1E02" w14:textId="77777777" w:rsidR="004A7EDA" w:rsidRPr="004A7EDA" w:rsidRDefault="004A7EDA" w:rsidP="002841E9">
      <w:pPr>
        <w:pStyle w:val="TableBullet"/>
        <w:rPr>
          <w:lang w:val="en-GB"/>
        </w:rPr>
      </w:pPr>
      <w:r w:rsidRPr="004A7EDA">
        <w:rPr>
          <w:lang w:val="en-GB"/>
        </w:rPr>
        <w:t>Engagement with businesses</w:t>
      </w:r>
    </w:p>
    <w:p w14:paraId="1981F4D1" w14:textId="77777777" w:rsidR="004A7EDA" w:rsidRPr="004A7EDA" w:rsidRDefault="004A7EDA" w:rsidP="002841E9">
      <w:pPr>
        <w:pStyle w:val="Heading3"/>
        <w:rPr>
          <w:lang w:val="en-GB"/>
        </w:rPr>
      </w:pPr>
      <w:bookmarkStart w:id="8" w:name="_Toc87011069"/>
      <w:r w:rsidRPr="004A7EDA">
        <w:rPr>
          <w:lang w:val="en-GB"/>
        </w:rPr>
        <w:t>Outputs</w:t>
      </w:r>
      <w:bookmarkEnd w:id="8"/>
    </w:p>
    <w:p w14:paraId="2999B158" w14:textId="611F7BC9" w:rsidR="004A7EDA" w:rsidRPr="004A7EDA" w:rsidRDefault="004A7EDA" w:rsidP="002841E9">
      <w:pPr>
        <w:pStyle w:val="Bullet"/>
        <w:rPr>
          <w:lang w:val="en-GB"/>
        </w:rPr>
      </w:pPr>
      <w:r w:rsidRPr="004A7EDA">
        <w:rPr>
          <w:lang w:val="en-GB"/>
        </w:rPr>
        <w:t>Industry, Innovation, Medical Research</w:t>
      </w:r>
      <w:r w:rsidR="002841E9">
        <w:rPr>
          <w:lang w:val="en-GB"/>
        </w:rPr>
        <w:t xml:space="preserve"> </w:t>
      </w:r>
      <w:r w:rsidRPr="004A7EDA">
        <w:rPr>
          <w:lang w:val="en-GB"/>
        </w:rPr>
        <w:t>and Small Business</w:t>
      </w:r>
    </w:p>
    <w:p w14:paraId="08355863" w14:textId="77777777" w:rsidR="004A7EDA" w:rsidRPr="004A7EDA" w:rsidRDefault="004A7EDA" w:rsidP="002841E9">
      <w:pPr>
        <w:numPr>
          <w:ilvl w:val="1"/>
          <w:numId w:val="1"/>
        </w:numPr>
        <w:rPr>
          <w:lang w:val="en-GB"/>
        </w:rPr>
      </w:pPr>
      <w:r w:rsidRPr="004A7EDA">
        <w:rPr>
          <w:lang w:val="en-GB"/>
        </w:rPr>
        <w:t>Industry, Innovation and Small Business</w:t>
      </w:r>
    </w:p>
    <w:p w14:paraId="624FD676" w14:textId="38F570A6" w:rsidR="002841E9" w:rsidRPr="00991083" w:rsidRDefault="004A7EDA" w:rsidP="004A7EDA">
      <w:pPr>
        <w:pStyle w:val="Bullet"/>
        <w:numPr>
          <w:ilvl w:val="1"/>
          <w:numId w:val="1"/>
        </w:numPr>
        <w:rPr>
          <w:lang w:val="en-GB"/>
        </w:rPr>
      </w:pPr>
      <w:r w:rsidRPr="004A7EDA">
        <w:rPr>
          <w:lang w:val="en-GB"/>
        </w:rPr>
        <w:t>Medical Research</w:t>
      </w:r>
    </w:p>
    <w:p w14:paraId="7E5F2CF0" w14:textId="07C66CFD" w:rsidR="004A7EDA" w:rsidRPr="004A7EDA" w:rsidRDefault="004A7EDA" w:rsidP="002841E9">
      <w:pPr>
        <w:pStyle w:val="Heading4"/>
        <w:rPr>
          <w:lang w:val="en-GB"/>
        </w:rPr>
      </w:pPr>
      <w:r w:rsidRPr="004A7EDA">
        <w:rPr>
          <w:lang w:val="en-GB"/>
        </w:rPr>
        <w:t xml:space="preserve">Indicator: Change in Victoria’s </w:t>
      </w:r>
      <w:r w:rsidRPr="002841E9">
        <w:t>real</w:t>
      </w:r>
      <w:r w:rsidRPr="004A7EDA">
        <w:rPr>
          <w:lang w:val="en-GB"/>
        </w:rPr>
        <w:t xml:space="preserve"> gross state product</w:t>
      </w:r>
    </w:p>
    <w:p w14:paraId="244BE1D2" w14:textId="77777777" w:rsidR="004A7EDA" w:rsidRPr="004A7EDA" w:rsidRDefault="004A7EDA" w:rsidP="002841E9">
      <w:pPr>
        <w:pStyle w:val="Heading5"/>
        <w:rPr>
          <w:lang w:val="en-GB"/>
        </w:rPr>
      </w:pPr>
      <w:r w:rsidRPr="004A7EDA">
        <w:rPr>
          <w:lang w:val="en-GB"/>
        </w:rPr>
        <w:t>Table 3: Change in Victoria’s real gross state product</w:t>
      </w:r>
    </w:p>
    <w:tbl>
      <w:tblPr>
        <w:tblW w:w="0" w:type="auto"/>
        <w:tblInd w:w="28" w:type="dxa"/>
        <w:tblLayout w:type="fixed"/>
        <w:tblCellMar>
          <w:left w:w="0" w:type="dxa"/>
          <w:right w:w="0" w:type="dxa"/>
        </w:tblCellMar>
        <w:tblLook w:val="0000" w:firstRow="0" w:lastRow="0" w:firstColumn="0" w:lastColumn="0" w:noHBand="0" w:noVBand="0"/>
      </w:tblPr>
      <w:tblGrid>
        <w:gridCol w:w="4195"/>
        <w:gridCol w:w="1361"/>
        <w:gridCol w:w="1361"/>
        <w:gridCol w:w="1360"/>
        <w:gridCol w:w="1361"/>
      </w:tblGrid>
      <w:tr w:rsidR="004A7EDA" w:rsidRPr="000143B1" w14:paraId="2C50D70C"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E230371" w14:textId="77777777" w:rsidR="004A7EDA" w:rsidRPr="000143B1" w:rsidRDefault="004A7EDA" w:rsidP="000143B1">
            <w:pPr>
              <w:pStyle w:val="TableHeading"/>
            </w:pPr>
            <w:r w:rsidRPr="000143B1">
              <w:t>Measure (unit of measure)</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047CAD5" w14:textId="77777777" w:rsidR="004A7EDA" w:rsidRPr="000143B1" w:rsidRDefault="004A7EDA" w:rsidP="007370D8">
            <w:pPr>
              <w:pStyle w:val="TableHeading"/>
              <w:jc w:val="right"/>
            </w:pPr>
            <w:r w:rsidRPr="000143B1">
              <w:t>2017–18</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D3D43D8" w14:textId="77777777" w:rsidR="004A7EDA" w:rsidRPr="000143B1" w:rsidRDefault="004A7EDA" w:rsidP="007370D8">
            <w:pPr>
              <w:pStyle w:val="TableHeading"/>
              <w:jc w:val="right"/>
            </w:pPr>
            <w:r w:rsidRPr="000143B1">
              <w:t>2018–19</w:t>
            </w:r>
          </w:p>
        </w:tc>
        <w:tc>
          <w:tcPr>
            <w:tcW w:w="1360"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2606FB1" w14:textId="77777777" w:rsidR="004A7EDA" w:rsidRPr="000143B1" w:rsidRDefault="004A7EDA" w:rsidP="007370D8">
            <w:pPr>
              <w:pStyle w:val="TableHeading"/>
              <w:jc w:val="right"/>
            </w:pPr>
            <w:r w:rsidRPr="000143B1">
              <w:t>2019–20</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8A991F2" w14:textId="77777777" w:rsidR="004A7EDA" w:rsidRPr="000143B1" w:rsidRDefault="004A7EDA" w:rsidP="007370D8">
            <w:pPr>
              <w:pStyle w:val="TableHeading"/>
              <w:jc w:val="right"/>
            </w:pPr>
            <w:r w:rsidRPr="000143B1">
              <w:t>2020–21</w:t>
            </w:r>
          </w:p>
        </w:tc>
      </w:tr>
      <w:tr w:rsidR="004A7EDA" w:rsidRPr="000143B1" w14:paraId="60EC6497"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456A194" w14:textId="77777777" w:rsidR="004A7EDA" w:rsidRPr="000143B1" w:rsidRDefault="004A7EDA" w:rsidP="000143B1">
            <w:pPr>
              <w:pStyle w:val="TableCopy"/>
            </w:pPr>
            <w:r w:rsidRPr="000143B1">
              <w:t>Change in Victoria’s real gross state product</w:t>
            </w:r>
            <w:r w:rsidRPr="000143B1">
              <w:br/>
              <w:t>(per cent)</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A8189C5" w14:textId="77777777" w:rsidR="004A7EDA" w:rsidRPr="000143B1" w:rsidRDefault="004A7EDA" w:rsidP="007370D8">
            <w:pPr>
              <w:pStyle w:val="TableCopy"/>
              <w:jc w:val="right"/>
            </w:pPr>
            <w:r w:rsidRPr="000143B1">
              <w:t>3.5</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68F570E" w14:textId="77777777" w:rsidR="004A7EDA" w:rsidRPr="000143B1" w:rsidRDefault="004A7EDA" w:rsidP="007370D8">
            <w:pPr>
              <w:pStyle w:val="TableCopy"/>
              <w:jc w:val="right"/>
            </w:pPr>
            <w:r w:rsidRPr="000143B1">
              <w:t>3.0</w:t>
            </w:r>
          </w:p>
        </w:tc>
        <w:tc>
          <w:tcPr>
            <w:tcW w:w="1360"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40BA41A" w14:textId="77777777" w:rsidR="004A7EDA" w:rsidRPr="000143B1" w:rsidRDefault="004A7EDA" w:rsidP="007370D8">
            <w:pPr>
              <w:pStyle w:val="TableCopy"/>
              <w:jc w:val="right"/>
            </w:pPr>
            <w:r w:rsidRPr="000143B1">
              <w:t xml:space="preserve"> -0.5</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DA3687D" w14:textId="77777777" w:rsidR="004A7EDA" w:rsidRPr="000143B1" w:rsidRDefault="004A7EDA" w:rsidP="007370D8">
            <w:pPr>
              <w:pStyle w:val="TableCopy"/>
              <w:jc w:val="right"/>
            </w:pPr>
            <w:r w:rsidRPr="000143B1">
              <w:t>Data available November 2021 </w:t>
            </w:r>
          </w:p>
        </w:tc>
      </w:tr>
    </w:tbl>
    <w:p w14:paraId="79F68D68" w14:textId="4D2730DE" w:rsidR="004A7EDA" w:rsidRPr="004A7EDA" w:rsidRDefault="004A7EDA" w:rsidP="002841E9">
      <w:pPr>
        <w:pStyle w:val="Heading5"/>
        <w:rPr>
          <w:lang w:val="en-GB"/>
        </w:rPr>
      </w:pPr>
      <w:r w:rsidRPr="004A7EDA">
        <w:rPr>
          <w:lang w:val="en-GB"/>
        </w:rPr>
        <w:t>Figure 2: Change in Victoria’s real gross</w:t>
      </w:r>
      <w:r w:rsidR="002841E9">
        <w:rPr>
          <w:lang w:val="en-GB"/>
        </w:rPr>
        <w:t xml:space="preserve"> </w:t>
      </w:r>
      <w:r w:rsidRPr="004A7EDA">
        <w:rPr>
          <w:lang w:val="en-GB"/>
        </w:rPr>
        <w:t>state product</w:t>
      </w:r>
    </w:p>
    <w:p w14:paraId="029BC1BA" w14:textId="275ACE22" w:rsidR="004A7EDA" w:rsidRPr="004A7EDA" w:rsidRDefault="002841E9" w:rsidP="004A7EDA">
      <w:pPr>
        <w:rPr>
          <w:lang w:val="en-GB"/>
        </w:rPr>
      </w:pPr>
      <w:r>
        <w:rPr>
          <w:noProof/>
          <w:lang w:val="en-GB"/>
        </w:rPr>
        <w:lastRenderedPageBreak/>
        <w:drawing>
          <wp:inline distT="0" distB="0" distL="0" distR="0" wp14:anchorId="61A2B84E" wp14:editId="4110DC52">
            <wp:extent cx="2895600" cy="1951265"/>
            <wp:effectExtent l="0" t="0" r="0" b="0"/>
            <wp:docPr id="2" name="Picture 2" descr="Chart showing change in Victoria's real gross state product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owing change in Victoria's real gross state product 2017-2021"/>
                    <pic:cNvPicPr/>
                  </pic:nvPicPr>
                  <pic:blipFill rotWithShape="1">
                    <a:blip r:embed="rId12"/>
                    <a:srcRect b="22009"/>
                    <a:stretch/>
                  </pic:blipFill>
                  <pic:spPr bwMode="auto">
                    <a:xfrm>
                      <a:off x="0" y="0"/>
                      <a:ext cx="2895600" cy="1951265"/>
                    </a:xfrm>
                    <a:prstGeom prst="rect">
                      <a:avLst/>
                    </a:prstGeom>
                    <a:ln>
                      <a:noFill/>
                    </a:ln>
                    <a:extLst>
                      <a:ext uri="{53640926-AAD7-44D8-BBD7-CCE9431645EC}">
                        <a14:shadowObscured xmlns:a14="http://schemas.microsoft.com/office/drawing/2010/main"/>
                      </a:ext>
                    </a:extLst>
                  </pic:spPr>
                </pic:pic>
              </a:graphicData>
            </a:graphic>
          </wp:inline>
        </w:drawing>
      </w:r>
    </w:p>
    <w:p w14:paraId="7F6AE5D2" w14:textId="770A8D92" w:rsidR="000143B1" w:rsidRPr="00991083" w:rsidRDefault="004A7EDA" w:rsidP="00991083">
      <w:pPr>
        <w:rPr>
          <w:lang w:val="en-GB"/>
        </w:rPr>
      </w:pPr>
      <w:r w:rsidRPr="004A7EDA">
        <w:rPr>
          <w:lang w:val="en-GB"/>
        </w:rPr>
        <w:t>Following steady growth over the past decade, Victoria’s real gross state product (GSP) fell by 0.5 per cent in 2019–20 as economic activity was impacted by the COVID-19 pandemic related restrictions and containment measures.</w:t>
      </w:r>
    </w:p>
    <w:p w14:paraId="0554A5D5" w14:textId="43C88A35" w:rsidR="004A7EDA" w:rsidRPr="004A7EDA" w:rsidRDefault="004A7EDA" w:rsidP="002841E9">
      <w:pPr>
        <w:pStyle w:val="Heading4"/>
        <w:rPr>
          <w:lang w:val="en-GB"/>
        </w:rPr>
      </w:pPr>
      <w:r w:rsidRPr="004A7EDA">
        <w:rPr>
          <w:lang w:val="en-GB"/>
        </w:rPr>
        <w:t>Indicator: Engagement with businesses</w:t>
      </w:r>
    </w:p>
    <w:p w14:paraId="1B6A9D6B" w14:textId="77777777" w:rsidR="004A7EDA" w:rsidRPr="004A7EDA" w:rsidRDefault="004A7EDA" w:rsidP="002841E9">
      <w:pPr>
        <w:pStyle w:val="Heading5"/>
        <w:rPr>
          <w:lang w:val="en-GB"/>
        </w:rPr>
      </w:pPr>
      <w:r w:rsidRPr="004A7EDA">
        <w:rPr>
          <w:lang w:val="en-GB"/>
        </w:rPr>
        <w:t>Table 4: Engagement with business</w:t>
      </w:r>
    </w:p>
    <w:tbl>
      <w:tblPr>
        <w:tblW w:w="0" w:type="auto"/>
        <w:tblInd w:w="28" w:type="dxa"/>
        <w:tblLayout w:type="fixed"/>
        <w:tblCellMar>
          <w:left w:w="0" w:type="dxa"/>
          <w:right w:w="0" w:type="dxa"/>
        </w:tblCellMar>
        <w:tblLook w:val="0000" w:firstRow="0" w:lastRow="0" w:firstColumn="0" w:lastColumn="0" w:noHBand="0" w:noVBand="0"/>
      </w:tblPr>
      <w:tblGrid>
        <w:gridCol w:w="4195"/>
        <w:gridCol w:w="1361"/>
        <w:gridCol w:w="1361"/>
        <w:gridCol w:w="1360"/>
        <w:gridCol w:w="1361"/>
      </w:tblGrid>
      <w:tr w:rsidR="004A7EDA" w:rsidRPr="004A7EDA" w14:paraId="348FE098"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425DED2" w14:textId="77777777" w:rsidR="004A7EDA" w:rsidRPr="004A7EDA" w:rsidRDefault="004A7EDA" w:rsidP="000143B1">
            <w:pPr>
              <w:pStyle w:val="TableHeading"/>
              <w:rPr>
                <w:lang w:val="en-GB"/>
              </w:rPr>
            </w:pPr>
            <w:r w:rsidRPr="004A7EDA">
              <w:rPr>
                <w:lang w:val="en-GB"/>
              </w:rPr>
              <w:t>Measure (unit of measure)</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BE20D09" w14:textId="77777777" w:rsidR="004A7EDA" w:rsidRPr="004A7EDA" w:rsidRDefault="004A7EDA" w:rsidP="00C34B9B">
            <w:pPr>
              <w:pStyle w:val="TableHeading"/>
              <w:jc w:val="right"/>
              <w:rPr>
                <w:lang w:val="en-GB"/>
              </w:rPr>
            </w:pPr>
            <w:r w:rsidRPr="004A7EDA">
              <w:rPr>
                <w:lang w:val="en-GB"/>
              </w:rPr>
              <w:t>2017–18</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A1AD794" w14:textId="77777777" w:rsidR="004A7EDA" w:rsidRPr="004A7EDA" w:rsidRDefault="004A7EDA" w:rsidP="00C34B9B">
            <w:pPr>
              <w:pStyle w:val="TableHeading"/>
              <w:jc w:val="right"/>
              <w:rPr>
                <w:lang w:val="en-GB"/>
              </w:rPr>
            </w:pPr>
            <w:r w:rsidRPr="004A7EDA">
              <w:rPr>
                <w:lang w:val="en-GB"/>
              </w:rPr>
              <w:t>2018–19</w:t>
            </w:r>
          </w:p>
        </w:tc>
        <w:tc>
          <w:tcPr>
            <w:tcW w:w="1360"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2CD2348" w14:textId="77777777" w:rsidR="004A7EDA" w:rsidRPr="004A7EDA" w:rsidRDefault="004A7EDA" w:rsidP="00C34B9B">
            <w:pPr>
              <w:pStyle w:val="TableHeading"/>
              <w:jc w:val="right"/>
              <w:rPr>
                <w:lang w:val="en-GB"/>
              </w:rPr>
            </w:pPr>
            <w:r w:rsidRPr="004A7EDA">
              <w:rPr>
                <w:lang w:val="en-GB"/>
              </w:rPr>
              <w:t>2019–20</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2CF44D2" w14:textId="77777777" w:rsidR="004A7EDA" w:rsidRPr="004A7EDA" w:rsidRDefault="004A7EDA" w:rsidP="00C34B9B">
            <w:pPr>
              <w:pStyle w:val="TableHeading"/>
              <w:jc w:val="right"/>
              <w:rPr>
                <w:lang w:val="en-GB"/>
              </w:rPr>
            </w:pPr>
            <w:r w:rsidRPr="004A7EDA">
              <w:rPr>
                <w:lang w:val="en-GB"/>
              </w:rPr>
              <w:t>2020–21</w:t>
            </w:r>
          </w:p>
        </w:tc>
      </w:tr>
      <w:tr w:rsidR="004A7EDA" w:rsidRPr="000143B1" w14:paraId="4109A05D"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EA7E975" w14:textId="20B241C8" w:rsidR="004A7EDA" w:rsidRPr="000143B1" w:rsidRDefault="004A7EDA" w:rsidP="000143B1">
            <w:pPr>
              <w:pStyle w:val="TableCopy"/>
            </w:pPr>
            <w:r w:rsidRPr="000143B1">
              <w:t>Engagements with businesses</w:t>
            </w:r>
            <w:r w:rsidR="00EA2E03">
              <w:t xml:space="preserve"> </w:t>
            </w:r>
            <w:r w:rsidRPr="000143B1">
              <w:t>(number)</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AB3F6DB" w14:textId="77777777" w:rsidR="004A7EDA" w:rsidRPr="000143B1" w:rsidRDefault="004A7EDA" w:rsidP="00C34B9B">
            <w:pPr>
              <w:pStyle w:val="TableCopy"/>
              <w:jc w:val="right"/>
            </w:pPr>
            <w:r w:rsidRPr="000143B1">
              <w:t>14,401</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5122918" w14:textId="77777777" w:rsidR="004A7EDA" w:rsidRPr="000143B1" w:rsidRDefault="004A7EDA" w:rsidP="00C34B9B">
            <w:pPr>
              <w:pStyle w:val="TableCopy"/>
              <w:jc w:val="right"/>
            </w:pPr>
            <w:r w:rsidRPr="000143B1">
              <w:t>14,630</w:t>
            </w:r>
          </w:p>
        </w:tc>
        <w:tc>
          <w:tcPr>
            <w:tcW w:w="1360"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4BF4905" w14:textId="77777777" w:rsidR="004A7EDA" w:rsidRPr="000143B1" w:rsidRDefault="004A7EDA" w:rsidP="00C34B9B">
            <w:pPr>
              <w:pStyle w:val="TableCopy"/>
              <w:jc w:val="right"/>
            </w:pPr>
            <w:r w:rsidRPr="000143B1">
              <w:t>12,344</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96133B7" w14:textId="77777777" w:rsidR="004A7EDA" w:rsidRPr="000143B1" w:rsidRDefault="004A7EDA" w:rsidP="00C34B9B">
            <w:pPr>
              <w:pStyle w:val="TableCopy"/>
              <w:jc w:val="right"/>
            </w:pPr>
            <w:r w:rsidRPr="000143B1">
              <w:t>14,772</w:t>
            </w:r>
          </w:p>
        </w:tc>
      </w:tr>
    </w:tbl>
    <w:p w14:paraId="78421DDB" w14:textId="06595665" w:rsidR="004A7EDA" w:rsidRPr="000143B1" w:rsidRDefault="004A7EDA" w:rsidP="000143B1">
      <w:pPr>
        <w:pStyle w:val="Heading5"/>
        <w:rPr>
          <w:lang w:val="en-GB"/>
        </w:rPr>
      </w:pPr>
      <w:r w:rsidRPr="004A7EDA">
        <w:rPr>
          <w:lang w:val="en-GB"/>
        </w:rPr>
        <w:t>Figure 3: Engagements with businesses</w:t>
      </w:r>
    </w:p>
    <w:p w14:paraId="1B80548B" w14:textId="6EBE7B17" w:rsidR="004A7EDA" w:rsidRPr="004A7EDA" w:rsidRDefault="002841E9" w:rsidP="004A7EDA">
      <w:pPr>
        <w:rPr>
          <w:lang w:val="en-GB"/>
        </w:rPr>
      </w:pPr>
      <w:r>
        <w:rPr>
          <w:noProof/>
          <w:lang w:val="en-GB"/>
        </w:rPr>
        <w:drawing>
          <wp:inline distT="0" distB="0" distL="0" distR="0" wp14:anchorId="1C850144" wp14:editId="2C2242D1">
            <wp:extent cx="2895600" cy="2000250"/>
            <wp:effectExtent l="0" t="0" r="0" b="0"/>
            <wp:docPr id="3" name="Picture 3" descr="Chart, line chart&#10;&#10;Engagement with businesses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Engagement with businesses 2017-2021"/>
                    <pic:cNvPicPr/>
                  </pic:nvPicPr>
                  <pic:blipFill rotWithShape="1">
                    <a:blip r:embed="rId13"/>
                    <a:srcRect b="20051"/>
                    <a:stretch/>
                  </pic:blipFill>
                  <pic:spPr bwMode="auto">
                    <a:xfrm>
                      <a:off x="0" y="0"/>
                      <a:ext cx="2895600" cy="2000250"/>
                    </a:xfrm>
                    <a:prstGeom prst="rect">
                      <a:avLst/>
                    </a:prstGeom>
                    <a:ln>
                      <a:noFill/>
                    </a:ln>
                    <a:extLst>
                      <a:ext uri="{53640926-AAD7-44D8-BBD7-CCE9431645EC}">
                        <a14:shadowObscured xmlns:a14="http://schemas.microsoft.com/office/drawing/2010/main"/>
                      </a:ext>
                    </a:extLst>
                  </pic:spPr>
                </pic:pic>
              </a:graphicData>
            </a:graphic>
          </wp:inline>
        </w:drawing>
      </w:r>
    </w:p>
    <w:p w14:paraId="07925895" w14:textId="77777777" w:rsidR="004A7EDA" w:rsidRPr="004A7EDA" w:rsidRDefault="004A7EDA" w:rsidP="004A7EDA">
      <w:pPr>
        <w:rPr>
          <w:lang w:val="en-GB"/>
        </w:rPr>
      </w:pPr>
      <w:r w:rsidRPr="004A7EDA">
        <w:rPr>
          <w:lang w:val="en-GB"/>
        </w:rPr>
        <w:t>In 2020–21, the department recorded over 14,000 engagements with businesses through meetings, phone calls, and involvement in non-COVID-19 related business assistance programs. These engagements reflect a range of activities and services across the department. It includes small businesses to large employers across metropolitan and regional Victoria, in areas such as investment, trade, employment and skills, agriculture and biosecurity, digital and ICT, earth resources</w:t>
      </w:r>
      <w:r w:rsidRPr="004A7EDA">
        <w:rPr>
          <w:lang w:val="en-GB"/>
        </w:rPr>
        <w:br/>
        <w:t>and tourism.</w:t>
      </w:r>
    </w:p>
    <w:p w14:paraId="145D0959" w14:textId="0B993014" w:rsidR="004A7EDA" w:rsidRPr="004A7EDA" w:rsidRDefault="004A7EDA" w:rsidP="004A7EDA">
      <w:pPr>
        <w:rPr>
          <w:lang w:val="en-GB"/>
        </w:rPr>
      </w:pPr>
      <w:r w:rsidRPr="004A7EDA">
        <w:rPr>
          <w:lang w:val="en-GB"/>
        </w:rPr>
        <w:t>It should be noted that the high volume of business and industry engagement due to COVID-19 is not reflected in the above measure and does not have a specific performance measure. This is due to the one-off nature of the funded programs and resourcing that were specifically directed towards supporting businesses and industries impacted</w:t>
      </w:r>
      <w:r w:rsidR="002841E9">
        <w:rPr>
          <w:lang w:val="en-GB"/>
        </w:rPr>
        <w:t xml:space="preserve"> </w:t>
      </w:r>
      <w:r w:rsidRPr="004A7EDA">
        <w:rPr>
          <w:lang w:val="en-GB"/>
        </w:rPr>
        <w:t xml:space="preserve">by restricted operations during this period. </w:t>
      </w:r>
    </w:p>
    <w:p w14:paraId="503C5E2B" w14:textId="77777777" w:rsidR="004A7EDA" w:rsidRPr="004A7EDA" w:rsidRDefault="004A7EDA" w:rsidP="004A7EDA">
      <w:pPr>
        <w:rPr>
          <w:lang w:val="en-GB"/>
        </w:rPr>
      </w:pPr>
      <w:r w:rsidRPr="004A7EDA">
        <w:rPr>
          <w:lang w:val="en-GB"/>
        </w:rPr>
        <w:t>The Better Approvals Project was a partnership between the department and local councils to make it easier to do business in Victoria, by streamlining and creating a more customer-friendly approach to permit applications. Following engagement with 61 of the 79 Victorian councils, in 2020–21 the department engaged the remaining 18 councils, resulting in a significant reduction in permit approval times for small businesses.</w:t>
      </w:r>
    </w:p>
    <w:p w14:paraId="36F5725C" w14:textId="41CA5550" w:rsidR="004A7EDA" w:rsidRPr="004A7EDA" w:rsidRDefault="004A7EDA" w:rsidP="004A7EDA">
      <w:pPr>
        <w:rPr>
          <w:lang w:val="en-GB"/>
        </w:rPr>
      </w:pPr>
      <w:r w:rsidRPr="004A7EDA">
        <w:rPr>
          <w:lang w:val="en-GB"/>
        </w:rPr>
        <w:t>Reforms to the Fair Payment Policy were also delivered, committing all Victorian Government departments and applicable agencies to pay</w:t>
      </w:r>
      <w:r w:rsidR="002841E9">
        <w:rPr>
          <w:lang w:val="en-GB"/>
        </w:rPr>
        <w:t xml:space="preserve"> </w:t>
      </w:r>
      <w:r w:rsidRPr="004A7EDA">
        <w:rPr>
          <w:lang w:val="en-GB"/>
        </w:rPr>
        <w:t>small business invoices under $3 million within</w:t>
      </w:r>
      <w:r w:rsidR="002841E9">
        <w:rPr>
          <w:lang w:val="en-GB"/>
        </w:rPr>
        <w:t xml:space="preserve"> </w:t>
      </w:r>
      <w:r w:rsidRPr="004A7EDA">
        <w:rPr>
          <w:lang w:val="en-GB"/>
        </w:rPr>
        <w:t xml:space="preserve">ten business days. </w:t>
      </w:r>
    </w:p>
    <w:p w14:paraId="01310BFE" w14:textId="51486E9D" w:rsidR="004A7EDA" w:rsidRPr="004A7EDA" w:rsidRDefault="004A7EDA" w:rsidP="004A7EDA">
      <w:pPr>
        <w:rPr>
          <w:lang w:val="en-GB"/>
        </w:rPr>
      </w:pPr>
      <w:r w:rsidRPr="004A7EDA">
        <w:rPr>
          <w:lang w:val="en-GB"/>
        </w:rPr>
        <w:t>Small Business Victoria has continued to deliver information, training, mentoring and other support, such as bushfire recovery and mental health</w:t>
      </w:r>
      <w:r w:rsidR="002841E9">
        <w:rPr>
          <w:lang w:val="en-GB"/>
        </w:rPr>
        <w:t xml:space="preserve"> </w:t>
      </w:r>
      <w:r w:rsidRPr="004A7EDA">
        <w:rPr>
          <w:lang w:val="en-GB"/>
        </w:rPr>
        <w:t>and well-being. The Business Victoria website and the subscribed newsletter have been instrumental</w:t>
      </w:r>
      <w:r w:rsidR="002841E9">
        <w:rPr>
          <w:lang w:val="en-GB"/>
        </w:rPr>
        <w:t xml:space="preserve"> </w:t>
      </w:r>
      <w:r w:rsidRPr="004A7EDA">
        <w:rPr>
          <w:lang w:val="en-GB"/>
        </w:rPr>
        <w:t>in providing accurate and timely information</w:t>
      </w:r>
      <w:r w:rsidR="002841E9">
        <w:rPr>
          <w:lang w:val="en-GB"/>
        </w:rPr>
        <w:t xml:space="preserve"> </w:t>
      </w:r>
      <w:r w:rsidRPr="004A7EDA">
        <w:rPr>
          <w:lang w:val="en-GB"/>
        </w:rPr>
        <w:t xml:space="preserve">to Victorian businesses. </w:t>
      </w:r>
    </w:p>
    <w:p w14:paraId="5D726556" w14:textId="40B9E1AE" w:rsidR="004A7EDA" w:rsidRPr="004A7EDA" w:rsidRDefault="004A7EDA" w:rsidP="004A7EDA">
      <w:pPr>
        <w:rPr>
          <w:lang w:val="en-GB"/>
        </w:rPr>
      </w:pPr>
      <w:r w:rsidRPr="004A7EDA">
        <w:rPr>
          <w:lang w:val="en-GB"/>
        </w:rPr>
        <w:lastRenderedPageBreak/>
        <w:t>The Technology Adoption and Innovation Program was launched to help Victorian SMEs onboard</w:t>
      </w:r>
      <w:r w:rsidR="002841E9">
        <w:rPr>
          <w:lang w:val="en-GB"/>
        </w:rPr>
        <w:t xml:space="preserve"> </w:t>
      </w:r>
      <w:r w:rsidRPr="004A7EDA">
        <w:rPr>
          <w:lang w:val="en-GB"/>
        </w:rPr>
        <w:t>or develop innovative, commercial technologies.</w:t>
      </w:r>
      <w:r w:rsidR="002841E9">
        <w:rPr>
          <w:lang w:val="en-GB"/>
        </w:rPr>
        <w:t xml:space="preserve"> </w:t>
      </w:r>
      <w:r w:rsidRPr="004A7EDA">
        <w:rPr>
          <w:lang w:val="en-GB"/>
        </w:rPr>
        <w:t>The program supported 134 applications for a total of $6.1 million in funding across a broad range</w:t>
      </w:r>
      <w:r w:rsidRPr="004A7EDA">
        <w:rPr>
          <w:lang w:val="en-GB"/>
        </w:rPr>
        <w:br/>
        <w:t>of industry sectors and applications.</w:t>
      </w:r>
    </w:p>
    <w:p w14:paraId="08A68DEE" w14:textId="3DBBDCA1" w:rsidR="004A7EDA" w:rsidRPr="004A7EDA" w:rsidRDefault="004A7EDA" w:rsidP="004A7EDA">
      <w:pPr>
        <w:rPr>
          <w:lang w:val="en-GB"/>
        </w:rPr>
      </w:pPr>
      <w:r w:rsidRPr="004A7EDA">
        <w:rPr>
          <w:lang w:val="en-GB"/>
        </w:rPr>
        <w:t xml:space="preserve">For </w:t>
      </w:r>
      <w:proofErr w:type="spellStart"/>
      <w:r w:rsidRPr="004A7EDA">
        <w:rPr>
          <w:lang w:val="en-GB"/>
        </w:rPr>
        <w:t>LaunchVic</w:t>
      </w:r>
      <w:proofErr w:type="spellEnd"/>
      <w:r w:rsidRPr="004A7EDA">
        <w:rPr>
          <w:lang w:val="en-GB"/>
        </w:rPr>
        <w:t>, the 2020–21 reporting year saw 127 companies, 2866 entrepreneurs and aspiring entrepreneurs, and 185 investors supported</w:t>
      </w:r>
      <w:r w:rsidR="002841E9">
        <w:rPr>
          <w:lang w:val="en-GB"/>
        </w:rPr>
        <w:t xml:space="preserve"> </w:t>
      </w:r>
      <w:r w:rsidRPr="004A7EDA">
        <w:rPr>
          <w:lang w:val="en-GB"/>
        </w:rPr>
        <w:t>through activities to build a robust investor</w:t>
      </w:r>
      <w:r w:rsidR="002841E9">
        <w:rPr>
          <w:lang w:val="en-GB"/>
        </w:rPr>
        <w:t xml:space="preserve"> </w:t>
      </w:r>
      <w:r w:rsidRPr="004A7EDA">
        <w:rPr>
          <w:lang w:val="en-GB"/>
        </w:rPr>
        <w:t xml:space="preserve">and </w:t>
      </w:r>
      <w:proofErr w:type="spellStart"/>
      <w:r w:rsidRPr="004A7EDA">
        <w:rPr>
          <w:lang w:val="en-GB"/>
        </w:rPr>
        <w:t>startup</w:t>
      </w:r>
      <w:proofErr w:type="spellEnd"/>
      <w:r w:rsidRPr="004A7EDA">
        <w:rPr>
          <w:lang w:val="en-GB"/>
        </w:rPr>
        <w:t xml:space="preserve"> community. </w:t>
      </w:r>
      <w:proofErr w:type="spellStart"/>
      <w:r w:rsidRPr="004A7EDA">
        <w:rPr>
          <w:lang w:val="en-GB"/>
        </w:rPr>
        <w:t>LaunchVic</w:t>
      </w:r>
      <w:proofErr w:type="spellEnd"/>
      <w:r w:rsidRPr="004A7EDA">
        <w:rPr>
          <w:lang w:val="en-GB"/>
        </w:rPr>
        <w:t xml:space="preserve"> established</w:t>
      </w:r>
      <w:r w:rsidR="002841E9">
        <w:rPr>
          <w:lang w:val="en-GB"/>
        </w:rPr>
        <w:t xml:space="preserve"> </w:t>
      </w:r>
      <w:r w:rsidRPr="004A7EDA">
        <w:rPr>
          <w:lang w:val="en-GB"/>
        </w:rPr>
        <w:t>the Alice Anderson Fund, a $10 million sidecar</w:t>
      </w:r>
      <w:r w:rsidR="002841E9">
        <w:rPr>
          <w:lang w:val="en-GB"/>
        </w:rPr>
        <w:t xml:space="preserve"> </w:t>
      </w:r>
      <w:r w:rsidRPr="004A7EDA">
        <w:rPr>
          <w:lang w:val="en-GB"/>
        </w:rPr>
        <w:t xml:space="preserve">fund that will co-invest in women-led </w:t>
      </w:r>
      <w:proofErr w:type="spellStart"/>
      <w:r w:rsidRPr="004A7EDA">
        <w:rPr>
          <w:lang w:val="en-GB"/>
        </w:rPr>
        <w:t>startups</w:t>
      </w:r>
      <w:proofErr w:type="spellEnd"/>
      <w:r w:rsidR="002841E9">
        <w:rPr>
          <w:lang w:val="en-GB"/>
        </w:rPr>
        <w:t xml:space="preserve"> </w:t>
      </w:r>
      <w:r w:rsidRPr="004A7EDA">
        <w:rPr>
          <w:lang w:val="en-GB"/>
        </w:rPr>
        <w:t>in Victoria to improve access to capital.</w:t>
      </w:r>
    </w:p>
    <w:p w14:paraId="789F9656" w14:textId="4433A34E" w:rsidR="004A7EDA" w:rsidRPr="004A7EDA" w:rsidRDefault="004A7EDA" w:rsidP="004A7EDA">
      <w:pPr>
        <w:rPr>
          <w:lang w:val="en-GB"/>
        </w:rPr>
      </w:pPr>
      <w:r w:rsidRPr="004A7EDA">
        <w:rPr>
          <w:lang w:val="en-GB"/>
        </w:rPr>
        <w:t>The department supported over 300 digital tech events and engaged in the order of 60,000 people</w:t>
      </w:r>
      <w:r w:rsidR="002841E9">
        <w:rPr>
          <w:lang w:val="en-GB"/>
        </w:rPr>
        <w:t xml:space="preserve"> </w:t>
      </w:r>
      <w:r w:rsidRPr="004A7EDA">
        <w:rPr>
          <w:lang w:val="en-GB"/>
        </w:rPr>
        <w:t xml:space="preserve">as part of Victoria’s annual Digital Innovation Festival. Other events and conferences supported by the department further stimulated the digital economy: such as Connecting Up Conference, Digital Creators Pilot Program, Australian Technologies Competition, AFR Innovation Summit, ACS Industry </w:t>
      </w:r>
      <w:proofErr w:type="gramStart"/>
      <w:r w:rsidRPr="004A7EDA">
        <w:rPr>
          <w:lang w:val="en-GB"/>
        </w:rPr>
        <w:t>Development</w:t>
      </w:r>
      <w:proofErr w:type="gramEnd"/>
      <w:r w:rsidRPr="004A7EDA">
        <w:rPr>
          <w:lang w:val="en-GB"/>
        </w:rPr>
        <w:t xml:space="preserve"> and engagement events, </w:t>
      </w:r>
      <w:proofErr w:type="spellStart"/>
      <w:r w:rsidRPr="004A7EDA">
        <w:rPr>
          <w:lang w:val="en-GB"/>
        </w:rPr>
        <w:t>RoboCup</w:t>
      </w:r>
      <w:proofErr w:type="spellEnd"/>
      <w:r w:rsidRPr="004A7EDA">
        <w:rPr>
          <w:lang w:val="en-GB"/>
        </w:rPr>
        <w:t xml:space="preserve">, Municipal Association of Victoria Technology National Conference, the inaugural Women in AI Awards, and the </w:t>
      </w:r>
      <w:proofErr w:type="spellStart"/>
      <w:r w:rsidRPr="004A7EDA">
        <w:rPr>
          <w:lang w:val="en-GB"/>
        </w:rPr>
        <w:t>GirledWorld</w:t>
      </w:r>
      <w:proofErr w:type="spellEnd"/>
      <w:r w:rsidRPr="004A7EDA">
        <w:rPr>
          <w:lang w:val="en-GB"/>
        </w:rPr>
        <w:t xml:space="preserve"> WOW Summit.</w:t>
      </w:r>
    </w:p>
    <w:p w14:paraId="1D5747E5" w14:textId="5FF0091C" w:rsidR="004A7EDA" w:rsidRPr="004A7EDA" w:rsidRDefault="004A7EDA" w:rsidP="004A7EDA">
      <w:pPr>
        <w:rPr>
          <w:lang w:val="en-GB"/>
        </w:rPr>
      </w:pPr>
      <w:r w:rsidRPr="004A7EDA">
        <w:rPr>
          <w:lang w:val="en-GB"/>
        </w:rPr>
        <w:t>Broadly, the department has also supported fostering a competitive business environment</w:t>
      </w:r>
      <w:r w:rsidR="002841E9">
        <w:rPr>
          <w:lang w:val="en-GB"/>
        </w:rPr>
        <w:t xml:space="preserve"> </w:t>
      </w:r>
      <w:r w:rsidRPr="004A7EDA">
        <w:rPr>
          <w:lang w:val="en-GB"/>
        </w:rPr>
        <w:t xml:space="preserve">by improving digital connectivity across the state. This includes launching the Morwell Enhanced Broadband network and the free public Wi-Fi network in </w:t>
      </w:r>
      <w:proofErr w:type="spellStart"/>
      <w:r w:rsidRPr="004A7EDA">
        <w:rPr>
          <w:lang w:val="en-GB"/>
        </w:rPr>
        <w:t>Shepparton</w:t>
      </w:r>
      <w:proofErr w:type="spellEnd"/>
      <w:r w:rsidRPr="004A7EDA">
        <w:rPr>
          <w:lang w:val="en-GB"/>
        </w:rPr>
        <w:t>, as well as delivering</w:t>
      </w:r>
      <w:r w:rsidR="002841E9">
        <w:rPr>
          <w:lang w:val="en-GB"/>
        </w:rPr>
        <w:t xml:space="preserve"> </w:t>
      </w:r>
      <w:r w:rsidRPr="004A7EDA">
        <w:rPr>
          <w:lang w:val="en-GB"/>
        </w:rPr>
        <w:t>27 new mobile base stations in 2020–21.</w:t>
      </w:r>
    </w:p>
    <w:p w14:paraId="386DF056" w14:textId="77777777" w:rsidR="004A7EDA" w:rsidRPr="004A7EDA" w:rsidRDefault="004A7EDA" w:rsidP="004A7EDA">
      <w:pPr>
        <w:rPr>
          <w:lang w:val="en-GB"/>
        </w:rPr>
      </w:pPr>
      <w:r w:rsidRPr="004A7EDA">
        <w:rPr>
          <w:lang w:val="en-GB"/>
        </w:rPr>
        <w:t>The demand for workers with digital skills in Victoria is strong and growing. The Victorian Government’s new Digital Jobs program aims to build the state’s digital workforce by training and reskilling mid-career Victorians so they can transition into digital careers. The program provides Victorian businesses with an opportunity to build their digital capability in a cost-effective way; backing businesses to thrive in a digital world, by finding great people with digital skills for digital jobs.</w:t>
      </w:r>
    </w:p>
    <w:p w14:paraId="4DDF3177" w14:textId="77777777" w:rsidR="004A7EDA" w:rsidRPr="004A7EDA" w:rsidRDefault="004A7EDA" w:rsidP="002841E9">
      <w:pPr>
        <w:pStyle w:val="Heading4"/>
        <w:rPr>
          <w:lang w:val="en-GB"/>
        </w:rPr>
      </w:pPr>
      <w:r w:rsidRPr="004A7EDA">
        <w:rPr>
          <w:lang w:val="en-GB"/>
        </w:rPr>
        <w:t>Performance against output performance measures</w:t>
      </w:r>
    </w:p>
    <w:p w14:paraId="06797A6D" w14:textId="3AEE9D12" w:rsidR="004A7EDA" w:rsidRPr="004A7EDA" w:rsidRDefault="004A7EDA" w:rsidP="004A7EDA">
      <w:pPr>
        <w:rPr>
          <w:lang w:val="en-GB"/>
        </w:rPr>
      </w:pPr>
      <w:r w:rsidRPr="004A7EDA">
        <w:rPr>
          <w:lang w:val="en-GB"/>
        </w:rPr>
        <w:t>Table 5 represents performance against the Industry, Innovation, Medical Research and Small Business</w:t>
      </w:r>
      <w:r w:rsidR="002841E9">
        <w:rPr>
          <w:lang w:val="en-GB"/>
        </w:rPr>
        <w:t xml:space="preserve"> </w:t>
      </w:r>
      <w:r w:rsidRPr="004A7EDA">
        <w:rPr>
          <w:lang w:val="en-GB"/>
        </w:rPr>
        <w:t>output. This output provides access to information and connections and builds the capability of Victorian businesses and industry to develop and effectively use new practices and technologies to increase productivity and competitiveness. Through this output, advocacy for a fair and competitive business environment and support for small business is also provided.</w:t>
      </w:r>
    </w:p>
    <w:p w14:paraId="7D5A530D" w14:textId="77777777" w:rsidR="004A7EDA" w:rsidRPr="004A7EDA" w:rsidRDefault="004A7EDA" w:rsidP="002841E9">
      <w:pPr>
        <w:pStyle w:val="Heading5"/>
        <w:rPr>
          <w:lang w:val="en-GB"/>
        </w:rPr>
      </w:pPr>
      <w:r w:rsidRPr="004A7EDA">
        <w:rPr>
          <w:lang w:val="en-GB"/>
        </w:rPr>
        <w:t xml:space="preserve">Table 5: Output – Industry, Innovation, Medical </w:t>
      </w:r>
      <w:r w:rsidRPr="002841E9">
        <w:t>Research</w:t>
      </w:r>
      <w:r w:rsidRPr="004A7EDA">
        <w:rPr>
          <w:lang w:val="en-GB"/>
        </w:rPr>
        <w:t xml:space="preserve"> and Small Business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9"/>
        <w:gridCol w:w="964"/>
        <w:gridCol w:w="963"/>
        <w:gridCol w:w="964"/>
        <w:gridCol w:w="1304"/>
        <w:gridCol w:w="964"/>
      </w:tblGrid>
      <w:tr w:rsidR="004A7EDA" w:rsidRPr="004A7EDA" w14:paraId="7013E8FD" w14:textId="77777777" w:rsidTr="000143B1">
        <w:trPr>
          <w:trHeight w:val="113"/>
          <w:tblHeader/>
        </w:trPr>
        <w:tc>
          <w:tcPr>
            <w:tcW w:w="4479" w:type="dxa"/>
            <w:shd w:val="clear" w:color="auto" w:fill="auto"/>
            <w:tcMar>
              <w:top w:w="113" w:type="dxa"/>
              <w:left w:w="28" w:type="dxa"/>
              <w:bottom w:w="113" w:type="dxa"/>
              <w:right w:w="28" w:type="dxa"/>
            </w:tcMar>
          </w:tcPr>
          <w:p w14:paraId="0D31276A" w14:textId="77777777" w:rsidR="004A7EDA" w:rsidRPr="004A7EDA" w:rsidRDefault="004A7EDA" w:rsidP="00991083">
            <w:pPr>
              <w:pStyle w:val="TableHeading"/>
              <w:rPr>
                <w:lang w:val="en-GB"/>
              </w:rPr>
            </w:pPr>
            <w:r w:rsidRPr="004A7EDA">
              <w:rPr>
                <w:lang w:val="en-GB"/>
              </w:rPr>
              <w:t>Performance measures</w:t>
            </w:r>
          </w:p>
        </w:tc>
        <w:tc>
          <w:tcPr>
            <w:tcW w:w="964" w:type="dxa"/>
            <w:shd w:val="clear" w:color="auto" w:fill="auto"/>
            <w:tcMar>
              <w:top w:w="113" w:type="dxa"/>
              <w:left w:w="28" w:type="dxa"/>
              <w:bottom w:w="113" w:type="dxa"/>
              <w:right w:w="28" w:type="dxa"/>
            </w:tcMar>
          </w:tcPr>
          <w:p w14:paraId="31C1D391" w14:textId="77777777" w:rsidR="004A7EDA" w:rsidRPr="004A7EDA" w:rsidRDefault="004A7EDA" w:rsidP="00991083">
            <w:pPr>
              <w:pStyle w:val="TableHeading"/>
              <w:rPr>
                <w:lang w:val="en-GB"/>
              </w:rPr>
            </w:pPr>
            <w:r w:rsidRPr="004A7EDA">
              <w:rPr>
                <w:lang w:val="en-GB"/>
              </w:rPr>
              <w:t>Unit of measure</w:t>
            </w:r>
          </w:p>
        </w:tc>
        <w:tc>
          <w:tcPr>
            <w:tcW w:w="963" w:type="dxa"/>
            <w:shd w:val="clear" w:color="auto" w:fill="auto"/>
            <w:tcMar>
              <w:top w:w="113" w:type="dxa"/>
              <w:left w:w="28" w:type="dxa"/>
              <w:bottom w:w="113" w:type="dxa"/>
              <w:right w:w="28" w:type="dxa"/>
            </w:tcMar>
          </w:tcPr>
          <w:p w14:paraId="73DE3525" w14:textId="77777777" w:rsidR="004A7EDA" w:rsidRPr="004A7EDA" w:rsidRDefault="004A7EDA" w:rsidP="00991083">
            <w:pPr>
              <w:pStyle w:val="TableHeading"/>
              <w:rPr>
                <w:lang w:val="en-GB"/>
              </w:rPr>
            </w:pPr>
            <w:r w:rsidRPr="004A7EDA">
              <w:rPr>
                <w:lang w:val="en-GB"/>
              </w:rPr>
              <w:t>2020–21 actual</w:t>
            </w:r>
          </w:p>
        </w:tc>
        <w:tc>
          <w:tcPr>
            <w:tcW w:w="964" w:type="dxa"/>
            <w:shd w:val="clear" w:color="auto" w:fill="auto"/>
            <w:tcMar>
              <w:top w:w="113" w:type="dxa"/>
              <w:left w:w="28" w:type="dxa"/>
              <w:bottom w:w="113" w:type="dxa"/>
              <w:right w:w="28" w:type="dxa"/>
            </w:tcMar>
          </w:tcPr>
          <w:p w14:paraId="2EA9B39E" w14:textId="77777777" w:rsidR="004A7EDA" w:rsidRPr="004A7EDA" w:rsidRDefault="004A7EDA" w:rsidP="00991083">
            <w:pPr>
              <w:pStyle w:val="TableHeading"/>
              <w:rPr>
                <w:lang w:val="en-GB"/>
              </w:rPr>
            </w:pPr>
            <w:r w:rsidRPr="004A7EDA">
              <w:rPr>
                <w:lang w:val="en-GB"/>
              </w:rPr>
              <w:t>2020–21 target</w:t>
            </w:r>
          </w:p>
        </w:tc>
        <w:tc>
          <w:tcPr>
            <w:tcW w:w="1304" w:type="dxa"/>
            <w:shd w:val="clear" w:color="auto" w:fill="auto"/>
            <w:tcMar>
              <w:top w:w="113" w:type="dxa"/>
              <w:left w:w="28" w:type="dxa"/>
              <w:bottom w:w="113" w:type="dxa"/>
              <w:right w:w="28" w:type="dxa"/>
            </w:tcMar>
          </w:tcPr>
          <w:p w14:paraId="3F5C92E2" w14:textId="77777777" w:rsidR="004A7EDA" w:rsidRPr="004A7EDA" w:rsidRDefault="004A7EDA" w:rsidP="00991083">
            <w:pPr>
              <w:pStyle w:val="TableHeading"/>
              <w:rPr>
                <w:lang w:val="en-GB"/>
              </w:rPr>
            </w:pPr>
            <w:r w:rsidRPr="004A7EDA">
              <w:rPr>
                <w:lang w:val="en-GB"/>
              </w:rPr>
              <w:t>Performance variation (%)</w:t>
            </w:r>
          </w:p>
        </w:tc>
        <w:tc>
          <w:tcPr>
            <w:tcW w:w="964" w:type="dxa"/>
            <w:shd w:val="clear" w:color="auto" w:fill="auto"/>
            <w:tcMar>
              <w:top w:w="113" w:type="dxa"/>
              <w:left w:w="28" w:type="dxa"/>
              <w:bottom w:w="113" w:type="dxa"/>
              <w:right w:w="28" w:type="dxa"/>
            </w:tcMar>
          </w:tcPr>
          <w:p w14:paraId="5D7BC3D0" w14:textId="77777777" w:rsidR="004A7EDA" w:rsidRPr="004A7EDA" w:rsidRDefault="004A7EDA" w:rsidP="00991083">
            <w:pPr>
              <w:pStyle w:val="TableHeading"/>
              <w:rPr>
                <w:lang w:val="en-GB"/>
              </w:rPr>
            </w:pPr>
            <w:r w:rsidRPr="004A7EDA">
              <w:rPr>
                <w:lang w:val="en-GB"/>
              </w:rPr>
              <w:t>Result</w:t>
            </w:r>
          </w:p>
        </w:tc>
      </w:tr>
      <w:tr w:rsidR="004A7EDA" w:rsidRPr="004A7EDA" w14:paraId="51332287" w14:textId="77777777" w:rsidTr="001D1E89">
        <w:trPr>
          <w:trHeight w:val="170"/>
        </w:trPr>
        <w:tc>
          <w:tcPr>
            <w:tcW w:w="9638" w:type="dxa"/>
            <w:gridSpan w:val="6"/>
            <w:shd w:val="clear" w:color="auto" w:fill="auto"/>
            <w:tcMar>
              <w:top w:w="113" w:type="dxa"/>
              <w:left w:w="28" w:type="dxa"/>
              <w:bottom w:w="113" w:type="dxa"/>
              <w:right w:w="28" w:type="dxa"/>
            </w:tcMar>
          </w:tcPr>
          <w:p w14:paraId="46DE175D" w14:textId="77777777" w:rsidR="004A7EDA" w:rsidRPr="001D1E89" w:rsidRDefault="004A7EDA" w:rsidP="00991083">
            <w:pPr>
              <w:pStyle w:val="TableCopy"/>
            </w:pPr>
            <w:r w:rsidRPr="001D1E89">
              <w:t>Industry, Innovation and Small Business</w:t>
            </w:r>
          </w:p>
        </w:tc>
      </w:tr>
      <w:tr w:rsidR="004A7EDA" w:rsidRPr="000143B1" w14:paraId="3CB2D990" w14:textId="77777777" w:rsidTr="000143B1">
        <w:trPr>
          <w:trHeight w:val="113"/>
        </w:trPr>
        <w:tc>
          <w:tcPr>
            <w:tcW w:w="9638" w:type="dxa"/>
            <w:gridSpan w:val="6"/>
            <w:shd w:val="clear" w:color="auto" w:fill="auto"/>
            <w:tcMar>
              <w:top w:w="113" w:type="dxa"/>
              <w:left w:w="28" w:type="dxa"/>
              <w:bottom w:w="113" w:type="dxa"/>
              <w:right w:w="28" w:type="dxa"/>
            </w:tcMar>
          </w:tcPr>
          <w:p w14:paraId="31C0636B" w14:textId="4FA6491A" w:rsidR="004A7EDA" w:rsidRPr="000143B1" w:rsidRDefault="004A7EDA" w:rsidP="00991083">
            <w:pPr>
              <w:pStyle w:val="TableCopy"/>
            </w:pPr>
            <w:r w:rsidRPr="000143B1">
              <w:t xml:space="preserve">This sub-output supports Victorian businesses, from global enterprises to small, medium and </w:t>
            </w:r>
            <w:proofErr w:type="spellStart"/>
            <w:r w:rsidRPr="000143B1">
              <w:t>start up</w:t>
            </w:r>
            <w:proofErr w:type="spellEnd"/>
            <w:r w:rsidRPr="000143B1">
              <w:t xml:space="preserve"> businesses,</w:t>
            </w:r>
            <w:r w:rsidRPr="000143B1">
              <w:br/>
              <w:t xml:space="preserve">to grow, create more job opportunities, lead innovation, promote digital connectivity and develop strategic industries. This is achieved by facilitating new investments, investing in digital connectivity, </w:t>
            </w:r>
            <w:proofErr w:type="gramStart"/>
            <w:r w:rsidRPr="000143B1">
              <w:t>developing</w:t>
            </w:r>
            <w:proofErr w:type="gramEnd"/>
            <w:r w:rsidRPr="000143B1">
              <w:t xml:space="preserve"> and attracting world class talent, enhancing industry capability to build on the State’s reputation for innovation and encouraging a competitive</w:t>
            </w:r>
            <w:r w:rsidR="002841E9" w:rsidRPr="000143B1">
              <w:t xml:space="preserve"> </w:t>
            </w:r>
            <w:r w:rsidRPr="000143B1">
              <w:t>and fair business environment and a strong, diversified economy.</w:t>
            </w:r>
          </w:p>
        </w:tc>
      </w:tr>
      <w:tr w:rsidR="004A7EDA" w:rsidRPr="004A7EDA" w14:paraId="293A06FE" w14:textId="77777777" w:rsidTr="000143B1">
        <w:trPr>
          <w:trHeight w:val="113"/>
        </w:trPr>
        <w:tc>
          <w:tcPr>
            <w:tcW w:w="9638" w:type="dxa"/>
            <w:gridSpan w:val="6"/>
            <w:shd w:val="clear" w:color="auto" w:fill="auto"/>
            <w:tcMar>
              <w:top w:w="113" w:type="dxa"/>
              <w:left w:w="28" w:type="dxa"/>
              <w:bottom w:w="113" w:type="dxa"/>
              <w:right w:w="28" w:type="dxa"/>
            </w:tcMar>
          </w:tcPr>
          <w:p w14:paraId="34512D0C" w14:textId="77777777" w:rsidR="004A7EDA" w:rsidRPr="004A7EDA" w:rsidRDefault="004A7EDA" w:rsidP="00991083">
            <w:pPr>
              <w:pStyle w:val="TableCopy"/>
              <w:rPr>
                <w:lang w:val="en-GB"/>
              </w:rPr>
            </w:pPr>
            <w:r w:rsidRPr="004A7EDA">
              <w:rPr>
                <w:lang w:val="en-GB"/>
              </w:rPr>
              <w:t>Quantity</w:t>
            </w:r>
          </w:p>
        </w:tc>
      </w:tr>
      <w:tr w:rsidR="004A7EDA" w:rsidRPr="004A7EDA" w14:paraId="645119AA" w14:textId="77777777" w:rsidTr="000143B1">
        <w:trPr>
          <w:trHeight w:val="113"/>
        </w:trPr>
        <w:tc>
          <w:tcPr>
            <w:tcW w:w="4479" w:type="dxa"/>
            <w:shd w:val="clear" w:color="auto" w:fill="auto"/>
            <w:tcMar>
              <w:top w:w="113" w:type="dxa"/>
              <w:left w:w="28" w:type="dxa"/>
              <w:bottom w:w="113" w:type="dxa"/>
              <w:right w:w="28" w:type="dxa"/>
            </w:tcMar>
          </w:tcPr>
          <w:p w14:paraId="322B0BC0" w14:textId="77777777" w:rsidR="004A7EDA" w:rsidRPr="004A7EDA" w:rsidRDefault="004A7EDA" w:rsidP="00991083">
            <w:pPr>
              <w:pStyle w:val="TableCopy"/>
              <w:rPr>
                <w:lang w:val="en-GB"/>
              </w:rPr>
            </w:pPr>
            <w:r w:rsidRPr="004A7EDA">
              <w:rPr>
                <w:lang w:val="en-GB"/>
              </w:rPr>
              <w:t>Businesses whose growth and productivity issues</w:t>
            </w:r>
            <w:r w:rsidRPr="004A7EDA">
              <w:rPr>
                <w:lang w:val="en-GB"/>
              </w:rPr>
              <w:br/>
              <w:t>are resolved by the Department</w:t>
            </w:r>
          </w:p>
        </w:tc>
        <w:tc>
          <w:tcPr>
            <w:tcW w:w="964" w:type="dxa"/>
            <w:shd w:val="clear" w:color="auto" w:fill="auto"/>
            <w:tcMar>
              <w:top w:w="113" w:type="dxa"/>
              <w:left w:w="28" w:type="dxa"/>
              <w:bottom w:w="113" w:type="dxa"/>
              <w:right w:w="28" w:type="dxa"/>
            </w:tcMar>
          </w:tcPr>
          <w:p w14:paraId="386E978C"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05B8A4B0" w14:textId="77777777" w:rsidR="004A7EDA" w:rsidRPr="004A7EDA" w:rsidRDefault="004A7EDA" w:rsidP="00991083">
            <w:pPr>
              <w:pStyle w:val="TableCopy"/>
              <w:rPr>
                <w:lang w:val="en-GB"/>
              </w:rPr>
            </w:pPr>
            <w:r w:rsidRPr="004A7EDA">
              <w:rPr>
                <w:lang w:val="en-GB"/>
              </w:rPr>
              <w:t>2,263</w:t>
            </w:r>
          </w:p>
        </w:tc>
        <w:tc>
          <w:tcPr>
            <w:tcW w:w="964" w:type="dxa"/>
            <w:shd w:val="clear" w:color="auto" w:fill="auto"/>
            <w:tcMar>
              <w:top w:w="113" w:type="dxa"/>
              <w:left w:w="28" w:type="dxa"/>
              <w:bottom w:w="113" w:type="dxa"/>
              <w:right w:w="28" w:type="dxa"/>
            </w:tcMar>
          </w:tcPr>
          <w:p w14:paraId="1792AAB6" w14:textId="77777777" w:rsidR="004A7EDA" w:rsidRPr="004A7EDA" w:rsidRDefault="004A7EDA" w:rsidP="00991083">
            <w:pPr>
              <w:pStyle w:val="TableCopy"/>
              <w:rPr>
                <w:lang w:val="en-GB"/>
              </w:rPr>
            </w:pPr>
            <w:r w:rsidRPr="004A7EDA">
              <w:rPr>
                <w:lang w:val="en-GB"/>
              </w:rPr>
              <w:t>1,200</w:t>
            </w:r>
          </w:p>
        </w:tc>
        <w:tc>
          <w:tcPr>
            <w:tcW w:w="1304" w:type="dxa"/>
            <w:shd w:val="clear" w:color="auto" w:fill="auto"/>
            <w:tcMar>
              <w:top w:w="113" w:type="dxa"/>
              <w:left w:w="28" w:type="dxa"/>
              <w:bottom w:w="113" w:type="dxa"/>
              <w:right w:w="28" w:type="dxa"/>
            </w:tcMar>
          </w:tcPr>
          <w:p w14:paraId="70ABD97D" w14:textId="77777777" w:rsidR="004A7EDA" w:rsidRPr="004A7EDA" w:rsidRDefault="004A7EDA" w:rsidP="00991083">
            <w:pPr>
              <w:pStyle w:val="TableCopy"/>
              <w:rPr>
                <w:lang w:val="en-GB"/>
              </w:rPr>
            </w:pPr>
            <w:r w:rsidRPr="004A7EDA">
              <w:rPr>
                <w:lang w:val="en-GB"/>
              </w:rPr>
              <w:t>88.6%</w:t>
            </w:r>
          </w:p>
        </w:tc>
        <w:tc>
          <w:tcPr>
            <w:tcW w:w="964" w:type="dxa"/>
            <w:shd w:val="clear" w:color="auto" w:fill="auto"/>
            <w:tcMar>
              <w:top w:w="113" w:type="dxa"/>
              <w:left w:w="28" w:type="dxa"/>
              <w:bottom w:w="113" w:type="dxa"/>
              <w:right w:w="28" w:type="dxa"/>
            </w:tcMar>
          </w:tcPr>
          <w:p w14:paraId="0BC3744B" w14:textId="45AD2B8B" w:rsidR="004A7EDA" w:rsidRPr="004A7EDA" w:rsidRDefault="002841E9" w:rsidP="00991083">
            <w:pPr>
              <w:pStyle w:val="TableCopy"/>
              <w:rPr>
                <w:lang w:val="en-GB"/>
              </w:rPr>
            </w:pPr>
            <w:r>
              <w:rPr>
                <w:lang w:val="en-GB"/>
              </w:rPr>
              <w:t>*</w:t>
            </w:r>
          </w:p>
        </w:tc>
      </w:tr>
      <w:tr w:rsidR="004A7EDA" w:rsidRPr="004A7EDA" w14:paraId="76F8B3E9" w14:textId="77777777" w:rsidTr="000143B1">
        <w:trPr>
          <w:trHeight w:val="113"/>
        </w:trPr>
        <w:tc>
          <w:tcPr>
            <w:tcW w:w="9638" w:type="dxa"/>
            <w:gridSpan w:val="6"/>
            <w:shd w:val="clear" w:color="auto" w:fill="auto"/>
            <w:tcMar>
              <w:top w:w="113" w:type="dxa"/>
              <w:left w:w="113" w:type="dxa"/>
              <w:bottom w:w="113" w:type="dxa"/>
              <w:right w:w="113" w:type="dxa"/>
            </w:tcMar>
          </w:tcPr>
          <w:p w14:paraId="16528659" w14:textId="77777777" w:rsidR="004A7EDA" w:rsidRPr="004A7EDA" w:rsidRDefault="004A7EDA" w:rsidP="00991083">
            <w:pPr>
              <w:pStyle w:val="TableCopy"/>
            </w:pPr>
            <w:r w:rsidRPr="004A7EDA">
              <w:t>Higher result due to an increased number of companies receiving payments through programs that support growth and productivity.</w:t>
            </w:r>
          </w:p>
        </w:tc>
      </w:tr>
      <w:tr w:rsidR="004A7EDA" w:rsidRPr="004A7EDA" w14:paraId="3EE6C476" w14:textId="77777777" w:rsidTr="000143B1">
        <w:trPr>
          <w:trHeight w:val="113"/>
        </w:trPr>
        <w:tc>
          <w:tcPr>
            <w:tcW w:w="4479" w:type="dxa"/>
            <w:shd w:val="clear" w:color="auto" w:fill="auto"/>
            <w:tcMar>
              <w:top w:w="113" w:type="dxa"/>
              <w:left w:w="28" w:type="dxa"/>
              <w:bottom w:w="113" w:type="dxa"/>
              <w:right w:w="28" w:type="dxa"/>
            </w:tcMar>
          </w:tcPr>
          <w:p w14:paraId="3E1AD899" w14:textId="77777777" w:rsidR="004A7EDA" w:rsidRPr="004A7EDA" w:rsidRDefault="004A7EDA" w:rsidP="00991083">
            <w:pPr>
              <w:pStyle w:val="TableCopy"/>
              <w:rPr>
                <w:lang w:val="en-GB"/>
              </w:rPr>
            </w:pPr>
            <w:r w:rsidRPr="004A7EDA">
              <w:rPr>
                <w:lang w:val="en-GB"/>
              </w:rPr>
              <w:t>Companies or new entrants supported through</w:t>
            </w:r>
            <w:r w:rsidRPr="004A7EDA">
              <w:rPr>
                <w:lang w:val="en-GB"/>
              </w:rPr>
              <w:br/>
              <w:t xml:space="preserve">the </w:t>
            </w:r>
            <w:proofErr w:type="spellStart"/>
            <w:r w:rsidRPr="004A7EDA">
              <w:rPr>
                <w:lang w:val="en-GB"/>
              </w:rPr>
              <w:t>LaunchVic</w:t>
            </w:r>
            <w:proofErr w:type="spellEnd"/>
            <w:r w:rsidRPr="004A7EDA">
              <w:rPr>
                <w:lang w:val="en-GB"/>
              </w:rPr>
              <w:t xml:space="preserve"> initiative</w:t>
            </w:r>
          </w:p>
        </w:tc>
        <w:tc>
          <w:tcPr>
            <w:tcW w:w="964" w:type="dxa"/>
            <w:shd w:val="clear" w:color="auto" w:fill="auto"/>
            <w:tcMar>
              <w:top w:w="113" w:type="dxa"/>
              <w:left w:w="28" w:type="dxa"/>
              <w:bottom w:w="113" w:type="dxa"/>
              <w:right w:w="28" w:type="dxa"/>
            </w:tcMar>
          </w:tcPr>
          <w:p w14:paraId="26F42F3D"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00C4FFD8" w14:textId="77777777" w:rsidR="004A7EDA" w:rsidRPr="004A7EDA" w:rsidRDefault="004A7EDA" w:rsidP="00991083">
            <w:pPr>
              <w:pStyle w:val="TableCopy"/>
              <w:rPr>
                <w:lang w:val="en-GB"/>
              </w:rPr>
            </w:pPr>
            <w:r w:rsidRPr="004A7EDA">
              <w:rPr>
                <w:lang w:val="en-GB"/>
              </w:rPr>
              <w:t>127</w:t>
            </w:r>
          </w:p>
        </w:tc>
        <w:tc>
          <w:tcPr>
            <w:tcW w:w="964" w:type="dxa"/>
            <w:shd w:val="clear" w:color="auto" w:fill="auto"/>
            <w:tcMar>
              <w:top w:w="113" w:type="dxa"/>
              <w:left w:w="28" w:type="dxa"/>
              <w:bottom w:w="113" w:type="dxa"/>
              <w:right w:w="28" w:type="dxa"/>
            </w:tcMar>
          </w:tcPr>
          <w:p w14:paraId="2097BC4A" w14:textId="77777777" w:rsidR="004A7EDA" w:rsidRPr="004A7EDA" w:rsidRDefault="004A7EDA" w:rsidP="00991083">
            <w:pPr>
              <w:pStyle w:val="TableCopy"/>
              <w:rPr>
                <w:lang w:val="en-GB"/>
              </w:rPr>
            </w:pPr>
            <w:r w:rsidRPr="004A7EDA">
              <w:rPr>
                <w:lang w:val="en-GB"/>
              </w:rPr>
              <w:t>127</w:t>
            </w:r>
          </w:p>
        </w:tc>
        <w:tc>
          <w:tcPr>
            <w:tcW w:w="1304" w:type="dxa"/>
            <w:shd w:val="clear" w:color="auto" w:fill="auto"/>
            <w:tcMar>
              <w:top w:w="113" w:type="dxa"/>
              <w:left w:w="28" w:type="dxa"/>
              <w:bottom w:w="113" w:type="dxa"/>
              <w:right w:w="28" w:type="dxa"/>
            </w:tcMar>
          </w:tcPr>
          <w:p w14:paraId="781F2CE9" w14:textId="77777777" w:rsidR="004A7EDA" w:rsidRPr="004A7EDA" w:rsidRDefault="004A7EDA" w:rsidP="0099108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5F0ADDAB" w14:textId="0C54545E" w:rsidR="004A7EDA" w:rsidRPr="004A7EDA" w:rsidRDefault="002841E9" w:rsidP="00991083">
            <w:pPr>
              <w:pStyle w:val="TableCopy"/>
              <w:rPr>
                <w:lang w:val="en-GB"/>
              </w:rPr>
            </w:pPr>
            <w:r>
              <w:rPr>
                <w:lang w:val="en-GB"/>
              </w:rPr>
              <w:t>*</w:t>
            </w:r>
          </w:p>
        </w:tc>
      </w:tr>
      <w:tr w:rsidR="004A7EDA" w:rsidRPr="004A7EDA" w14:paraId="7741980B" w14:textId="77777777" w:rsidTr="000143B1">
        <w:trPr>
          <w:trHeight w:val="113"/>
        </w:trPr>
        <w:tc>
          <w:tcPr>
            <w:tcW w:w="4479" w:type="dxa"/>
            <w:shd w:val="clear" w:color="auto" w:fill="auto"/>
            <w:tcMar>
              <w:top w:w="113" w:type="dxa"/>
              <w:left w:w="28" w:type="dxa"/>
              <w:bottom w:w="113" w:type="dxa"/>
              <w:right w:w="28" w:type="dxa"/>
            </w:tcMar>
          </w:tcPr>
          <w:p w14:paraId="360BA674" w14:textId="77777777" w:rsidR="004A7EDA" w:rsidRPr="004A7EDA" w:rsidRDefault="004A7EDA" w:rsidP="00991083">
            <w:pPr>
              <w:pStyle w:val="TableCopy"/>
              <w:rPr>
                <w:lang w:val="en-GB"/>
              </w:rPr>
            </w:pPr>
            <w:r w:rsidRPr="004A7EDA">
              <w:rPr>
                <w:lang w:val="en-GB"/>
              </w:rPr>
              <w:t>Engagements with businesses</w:t>
            </w:r>
          </w:p>
        </w:tc>
        <w:tc>
          <w:tcPr>
            <w:tcW w:w="964" w:type="dxa"/>
            <w:shd w:val="clear" w:color="auto" w:fill="auto"/>
            <w:tcMar>
              <w:top w:w="113" w:type="dxa"/>
              <w:left w:w="28" w:type="dxa"/>
              <w:bottom w:w="113" w:type="dxa"/>
              <w:right w:w="28" w:type="dxa"/>
            </w:tcMar>
          </w:tcPr>
          <w:p w14:paraId="77FD83D5"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3B77E76" w14:textId="77777777" w:rsidR="004A7EDA" w:rsidRPr="004A7EDA" w:rsidRDefault="004A7EDA" w:rsidP="00991083">
            <w:pPr>
              <w:pStyle w:val="TableCopy"/>
              <w:rPr>
                <w:lang w:val="en-GB"/>
              </w:rPr>
            </w:pPr>
            <w:r w:rsidRPr="004A7EDA">
              <w:rPr>
                <w:lang w:val="en-GB"/>
              </w:rPr>
              <w:t>15,481</w:t>
            </w:r>
          </w:p>
        </w:tc>
        <w:tc>
          <w:tcPr>
            <w:tcW w:w="964" w:type="dxa"/>
            <w:shd w:val="clear" w:color="auto" w:fill="auto"/>
            <w:tcMar>
              <w:top w:w="113" w:type="dxa"/>
              <w:left w:w="28" w:type="dxa"/>
              <w:bottom w:w="113" w:type="dxa"/>
              <w:right w:w="28" w:type="dxa"/>
            </w:tcMar>
          </w:tcPr>
          <w:p w14:paraId="417B46EA" w14:textId="77777777" w:rsidR="004A7EDA" w:rsidRPr="004A7EDA" w:rsidRDefault="004A7EDA" w:rsidP="00991083">
            <w:pPr>
              <w:pStyle w:val="TableCopy"/>
              <w:rPr>
                <w:lang w:val="en-GB"/>
              </w:rPr>
            </w:pPr>
            <w:r w:rsidRPr="004A7EDA">
              <w:rPr>
                <w:lang w:val="en-GB"/>
              </w:rPr>
              <w:t>14,000</w:t>
            </w:r>
          </w:p>
        </w:tc>
        <w:tc>
          <w:tcPr>
            <w:tcW w:w="1304" w:type="dxa"/>
            <w:shd w:val="clear" w:color="auto" w:fill="auto"/>
            <w:tcMar>
              <w:top w:w="113" w:type="dxa"/>
              <w:left w:w="28" w:type="dxa"/>
              <w:bottom w:w="113" w:type="dxa"/>
              <w:right w:w="28" w:type="dxa"/>
            </w:tcMar>
          </w:tcPr>
          <w:p w14:paraId="315C54E0" w14:textId="77777777" w:rsidR="004A7EDA" w:rsidRPr="004A7EDA" w:rsidRDefault="004A7EDA" w:rsidP="00991083">
            <w:pPr>
              <w:pStyle w:val="TableCopy"/>
              <w:rPr>
                <w:lang w:val="en-GB"/>
              </w:rPr>
            </w:pPr>
            <w:r w:rsidRPr="004A7EDA">
              <w:rPr>
                <w:lang w:val="en-GB"/>
              </w:rPr>
              <w:t>10.6%</w:t>
            </w:r>
          </w:p>
        </w:tc>
        <w:tc>
          <w:tcPr>
            <w:tcW w:w="964" w:type="dxa"/>
            <w:shd w:val="clear" w:color="auto" w:fill="auto"/>
            <w:tcMar>
              <w:top w:w="113" w:type="dxa"/>
              <w:left w:w="28" w:type="dxa"/>
              <w:bottom w:w="113" w:type="dxa"/>
              <w:right w:w="28" w:type="dxa"/>
            </w:tcMar>
          </w:tcPr>
          <w:p w14:paraId="3E30F55C" w14:textId="2FB14155" w:rsidR="004A7EDA" w:rsidRPr="004A7EDA" w:rsidRDefault="002841E9" w:rsidP="00991083">
            <w:pPr>
              <w:pStyle w:val="TableCopy"/>
              <w:rPr>
                <w:lang w:val="en-GB"/>
              </w:rPr>
            </w:pPr>
            <w:r>
              <w:rPr>
                <w:lang w:val="en-GB"/>
              </w:rPr>
              <w:t>*</w:t>
            </w:r>
          </w:p>
        </w:tc>
      </w:tr>
      <w:tr w:rsidR="004A7EDA" w:rsidRPr="004A7EDA" w14:paraId="14CB9061" w14:textId="77777777" w:rsidTr="000143B1">
        <w:trPr>
          <w:trHeight w:val="113"/>
        </w:trPr>
        <w:tc>
          <w:tcPr>
            <w:tcW w:w="9638" w:type="dxa"/>
            <w:gridSpan w:val="6"/>
            <w:shd w:val="clear" w:color="auto" w:fill="auto"/>
            <w:tcMar>
              <w:top w:w="113" w:type="dxa"/>
              <w:left w:w="113" w:type="dxa"/>
              <w:bottom w:w="113" w:type="dxa"/>
              <w:right w:w="113" w:type="dxa"/>
            </w:tcMar>
          </w:tcPr>
          <w:p w14:paraId="2A72E518" w14:textId="77777777" w:rsidR="004A7EDA" w:rsidRPr="004A7EDA" w:rsidRDefault="004A7EDA" w:rsidP="00991083">
            <w:pPr>
              <w:pStyle w:val="TableCopy"/>
            </w:pPr>
            <w:r w:rsidRPr="004A7EDA">
              <w:t>Higher result due to meetings and phone calls relating to engagement occurring to support businesses during COVID-19. Opportunities created for COVID-19 related funding programs are excluded from the figures.</w:t>
            </w:r>
          </w:p>
        </w:tc>
      </w:tr>
      <w:tr w:rsidR="004A7EDA" w:rsidRPr="004A7EDA" w14:paraId="04F0CCD3" w14:textId="77777777" w:rsidTr="000143B1">
        <w:trPr>
          <w:trHeight w:val="113"/>
        </w:trPr>
        <w:tc>
          <w:tcPr>
            <w:tcW w:w="4479" w:type="dxa"/>
            <w:shd w:val="clear" w:color="auto" w:fill="auto"/>
            <w:tcMar>
              <w:top w:w="113" w:type="dxa"/>
              <w:left w:w="28" w:type="dxa"/>
              <w:bottom w:w="113" w:type="dxa"/>
              <w:right w:w="28" w:type="dxa"/>
            </w:tcMar>
          </w:tcPr>
          <w:p w14:paraId="606E97BA" w14:textId="77777777" w:rsidR="004A7EDA" w:rsidRPr="004A7EDA" w:rsidRDefault="004A7EDA" w:rsidP="00991083">
            <w:pPr>
              <w:pStyle w:val="TableCopy"/>
              <w:rPr>
                <w:lang w:val="en-GB"/>
              </w:rPr>
            </w:pPr>
            <w:r w:rsidRPr="004A7EDA">
              <w:rPr>
                <w:lang w:val="en-GB"/>
              </w:rPr>
              <w:t>Individuals supported under digital skills initiatives</w:t>
            </w:r>
          </w:p>
        </w:tc>
        <w:tc>
          <w:tcPr>
            <w:tcW w:w="964" w:type="dxa"/>
            <w:shd w:val="clear" w:color="auto" w:fill="auto"/>
            <w:tcMar>
              <w:top w:w="113" w:type="dxa"/>
              <w:left w:w="28" w:type="dxa"/>
              <w:bottom w:w="113" w:type="dxa"/>
              <w:right w:w="28" w:type="dxa"/>
            </w:tcMar>
          </w:tcPr>
          <w:p w14:paraId="0DBFA725"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0C7BF17D" w14:textId="77777777" w:rsidR="004A7EDA" w:rsidRPr="004A7EDA" w:rsidRDefault="004A7EDA" w:rsidP="00991083">
            <w:pPr>
              <w:pStyle w:val="TableCopy"/>
              <w:rPr>
                <w:lang w:val="en-GB"/>
              </w:rPr>
            </w:pPr>
            <w:r w:rsidRPr="004A7EDA">
              <w:rPr>
                <w:lang w:val="en-GB"/>
              </w:rPr>
              <w:t>573</w:t>
            </w:r>
          </w:p>
        </w:tc>
        <w:tc>
          <w:tcPr>
            <w:tcW w:w="964" w:type="dxa"/>
            <w:shd w:val="clear" w:color="auto" w:fill="auto"/>
            <w:tcMar>
              <w:top w:w="113" w:type="dxa"/>
              <w:left w:w="28" w:type="dxa"/>
              <w:bottom w:w="113" w:type="dxa"/>
              <w:right w:w="28" w:type="dxa"/>
            </w:tcMar>
          </w:tcPr>
          <w:p w14:paraId="09EC00FC" w14:textId="77777777" w:rsidR="004A7EDA" w:rsidRPr="004A7EDA" w:rsidRDefault="004A7EDA" w:rsidP="00991083">
            <w:pPr>
              <w:pStyle w:val="TableCopy"/>
              <w:rPr>
                <w:lang w:val="en-GB"/>
              </w:rPr>
            </w:pPr>
            <w:r w:rsidRPr="004A7EDA">
              <w:rPr>
                <w:lang w:val="en-GB"/>
              </w:rPr>
              <w:t>500</w:t>
            </w:r>
          </w:p>
        </w:tc>
        <w:tc>
          <w:tcPr>
            <w:tcW w:w="1304" w:type="dxa"/>
            <w:shd w:val="clear" w:color="auto" w:fill="auto"/>
            <w:tcMar>
              <w:top w:w="113" w:type="dxa"/>
              <w:left w:w="28" w:type="dxa"/>
              <w:bottom w:w="113" w:type="dxa"/>
              <w:right w:w="28" w:type="dxa"/>
            </w:tcMar>
          </w:tcPr>
          <w:p w14:paraId="3DEE7C58" w14:textId="77777777" w:rsidR="004A7EDA" w:rsidRPr="004A7EDA" w:rsidRDefault="004A7EDA" w:rsidP="00991083">
            <w:pPr>
              <w:pStyle w:val="TableCopy"/>
              <w:rPr>
                <w:lang w:val="en-GB"/>
              </w:rPr>
            </w:pPr>
            <w:r w:rsidRPr="004A7EDA">
              <w:rPr>
                <w:lang w:val="en-GB"/>
              </w:rPr>
              <w:t>14.6%</w:t>
            </w:r>
          </w:p>
        </w:tc>
        <w:tc>
          <w:tcPr>
            <w:tcW w:w="964" w:type="dxa"/>
            <w:shd w:val="clear" w:color="auto" w:fill="auto"/>
            <w:tcMar>
              <w:top w:w="113" w:type="dxa"/>
              <w:left w:w="28" w:type="dxa"/>
              <w:bottom w:w="113" w:type="dxa"/>
              <w:right w:w="28" w:type="dxa"/>
            </w:tcMar>
          </w:tcPr>
          <w:p w14:paraId="012509AC" w14:textId="552B8C27" w:rsidR="004A7EDA" w:rsidRPr="004A7EDA" w:rsidRDefault="002841E9" w:rsidP="00991083">
            <w:pPr>
              <w:pStyle w:val="TableCopy"/>
              <w:rPr>
                <w:lang w:val="en-GB"/>
              </w:rPr>
            </w:pPr>
            <w:r>
              <w:rPr>
                <w:lang w:val="en-GB"/>
              </w:rPr>
              <w:t>*</w:t>
            </w:r>
          </w:p>
        </w:tc>
      </w:tr>
      <w:tr w:rsidR="004A7EDA" w:rsidRPr="004A7EDA" w14:paraId="6C42AB4A" w14:textId="77777777" w:rsidTr="000143B1">
        <w:trPr>
          <w:trHeight w:val="113"/>
        </w:trPr>
        <w:tc>
          <w:tcPr>
            <w:tcW w:w="9638" w:type="dxa"/>
            <w:gridSpan w:val="6"/>
            <w:shd w:val="clear" w:color="auto" w:fill="auto"/>
            <w:tcMar>
              <w:top w:w="113" w:type="dxa"/>
              <w:left w:w="113" w:type="dxa"/>
              <w:bottom w:w="113" w:type="dxa"/>
              <w:right w:w="113" w:type="dxa"/>
            </w:tcMar>
          </w:tcPr>
          <w:p w14:paraId="24EE7D1E" w14:textId="77777777" w:rsidR="004A7EDA" w:rsidRPr="004A7EDA" w:rsidRDefault="004A7EDA" w:rsidP="00991083">
            <w:pPr>
              <w:pStyle w:val="TableCopy"/>
            </w:pPr>
            <w:r w:rsidRPr="004A7EDA">
              <w:t>Higher result due to a higher number of enrolments in training courses. The figure excludes a proportion of participants who dropped out and those who deferred their offer to a later round of the program.</w:t>
            </w:r>
          </w:p>
        </w:tc>
      </w:tr>
      <w:tr w:rsidR="004A7EDA" w:rsidRPr="004A7EDA" w14:paraId="20B11C0A" w14:textId="77777777" w:rsidTr="000143B1">
        <w:trPr>
          <w:trHeight w:val="113"/>
        </w:trPr>
        <w:tc>
          <w:tcPr>
            <w:tcW w:w="4479" w:type="dxa"/>
            <w:shd w:val="clear" w:color="auto" w:fill="auto"/>
            <w:tcMar>
              <w:top w:w="113" w:type="dxa"/>
              <w:left w:w="28" w:type="dxa"/>
              <w:bottom w:w="113" w:type="dxa"/>
              <w:right w:w="28" w:type="dxa"/>
            </w:tcMar>
          </w:tcPr>
          <w:p w14:paraId="54B22A0F" w14:textId="77777777" w:rsidR="004A7EDA" w:rsidRPr="004A7EDA" w:rsidRDefault="004A7EDA" w:rsidP="00991083">
            <w:pPr>
              <w:pStyle w:val="TableCopy"/>
              <w:rPr>
                <w:lang w:val="en-GB"/>
              </w:rPr>
            </w:pPr>
            <w:r w:rsidRPr="004A7EDA">
              <w:rPr>
                <w:lang w:val="en-GB"/>
              </w:rPr>
              <w:t>Industry roundtables and engagement forums</w:t>
            </w:r>
          </w:p>
        </w:tc>
        <w:tc>
          <w:tcPr>
            <w:tcW w:w="964" w:type="dxa"/>
            <w:shd w:val="clear" w:color="auto" w:fill="auto"/>
            <w:tcMar>
              <w:top w:w="113" w:type="dxa"/>
              <w:left w:w="28" w:type="dxa"/>
              <w:bottom w:w="113" w:type="dxa"/>
              <w:right w:w="28" w:type="dxa"/>
            </w:tcMar>
          </w:tcPr>
          <w:p w14:paraId="52046088"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0CF82E81" w14:textId="77777777" w:rsidR="004A7EDA" w:rsidRPr="004A7EDA" w:rsidRDefault="004A7EDA" w:rsidP="00991083">
            <w:pPr>
              <w:pStyle w:val="TableCopy"/>
              <w:rPr>
                <w:lang w:val="en-GB"/>
              </w:rPr>
            </w:pPr>
            <w:r w:rsidRPr="004A7EDA">
              <w:rPr>
                <w:lang w:val="en-GB"/>
              </w:rPr>
              <w:t>520</w:t>
            </w:r>
          </w:p>
        </w:tc>
        <w:tc>
          <w:tcPr>
            <w:tcW w:w="964" w:type="dxa"/>
            <w:shd w:val="clear" w:color="auto" w:fill="auto"/>
            <w:tcMar>
              <w:top w:w="113" w:type="dxa"/>
              <w:left w:w="28" w:type="dxa"/>
              <w:bottom w:w="113" w:type="dxa"/>
              <w:right w:w="28" w:type="dxa"/>
            </w:tcMar>
          </w:tcPr>
          <w:p w14:paraId="281CD053" w14:textId="77777777" w:rsidR="004A7EDA" w:rsidRPr="004A7EDA" w:rsidRDefault="004A7EDA" w:rsidP="00991083">
            <w:pPr>
              <w:pStyle w:val="TableCopy"/>
              <w:rPr>
                <w:lang w:val="en-GB"/>
              </w:rPr>
            </w:pPr>
            <w:r w:rsidRPr="004A7EDA">
              <w:rPr>
                <w:lang w:val="en-GB"/>
              </w:rPr>
              <w:t>25</w:t>
            </w:r>
          </w:p>
        </w:tc>
        <w:tc>
          <w:tcPr>
            <w:tcW w:w="1304" w:type="dxa"/>
            <w:shd w:val="clear" w:color="auto" w:fill="auto"/>
            <w:tcMar>
              <w:top w:w="113" w:type="dxa"/>
              <w:left w:w="28" w:type="dxa"/>
              <w:bottom w:w="113" w:type="dxa"/>
              <w:right w:w="28" w:type="dxa"/>
            </w:tcMar>
          </w:tcPr>
          <w:p w14:paraId="7470C23C" w14:textId="77777777" w:rsidR="004A7EDA" w:rsidRPr="004A7EDA" w:rsidRDefault="004A7EDA" w:rsidP="00991083">
            <w:pPr>
              <w:pStyle w:val="TableCopy"/>
              <w:rPr>
                <w:lang w:val="en-GB"/>
              </w:rPr>
            </w:pPr>
            <w:r w:rsidRPr="004A7EDA">
              <w:rPr>
                <w:lang w:val="en-GB"/>
              </w:rPr>
              <w:t>1980.0%</w:t>
            </w:r>
          </w:p>
        </w:tc>
        <w:tc>
          <w:tcPr>
            <w:tcW w:w="964" w:type="dxa"/>
            <w:shd w:val="clear" w:color="auto" w:fill="auto"/>
            <w:tcMar>
              <w:top w:w="113" w:type="dxa"/>
              <w:left w:w="28" w:type="dxa"/>
              <w:bottom w:w="113" w:type="dxa"/>
              <w:right w:w="28" w:type="dxa"/>
            </w:tcMar>
          </w:tcPr>
          <w:p w14:paraId="24D87FF2" w14:textId="3F0D80F6" w:rsidR="004A7EDA" w:rsidRPr="004A7EDA" w:rsidRDefault="002841E9" w:rsidP="00991083">
            <w:pPr>
              <w:pStyle w:val="TableCopy"/>
              <w:rPr>
                <w:lang w:val="en-GB"/>
              </w:rPr>
            </w:pPr>
            <w:r>
              <w:rPr>
                <w:lang w:val="en-GB"/>
              </w:rPr>
              <w:t>*</w:t>
            </w:r>
          </w:p>
        </w:tc>
      </w:tr>
      <w:tr w:rsidR="004A7EDA" w:rsidRPr="004A7EDA" w14:paraId="600732FB" w14:textId="77777777" w:rsidTr="000143B1">
        <w:trPr>
          <w:trHeight w:val="113"/>
        </w:trPr>
        <w:tc>
          <w:tcPr>
            <w:tcW w:w="9638" w:type="dxa"/>
            <w:gridSpan w:val="6"/>
            <w:shd w:val="clear" w:color="auto" w:fill="auto"/>
            <w:tcMar>
              <w:top w:w="113" w:type="dxa"/>
              <w:left w:w="113" w:type="dxa"/>
              <w:bottom w:w="113" w:type="dxa"/>
              <w:right w:w="113" w:type="dxa"/>
            </w:tcMar>
          </w:tcPr>
          <w:p w14:paraId="458D7D28" w14:textId="3536A703" w:rsidR="004A7EDA" w:rsidRPr="004A7EDA" w:rsidRDefault="004A7EDA" w:rsidP="00991083">
            <w:pPr>
              <w:pStyle w:val="TableCopy"/>
            </w:pPr>
            <w:r w:rsidRPr="004A7EDA">
              <w:lastRenderedPageBreak/>
              <w:t xml:space="preserve">Higher result due to the high volume of industry roundtables and engagement forums that were facilitated by the department </w:t>
            </w:r>
            <w:proofErr w:type="gramStart"/>
            <w:r w:rsidRPr="004A7EDA">
              <w:t>as</w:t>
            </w:r>
            <w:r w:rsidR="002841E9">
              <w:t xml:space="preserve"> </w:t>
            </w:r>
            <w:r w:rsidRPr="004A7EDA">
              <w:t>a result of</w:t>
            </w:r>
            <w:proofErr w:type="gramEnd"/>
            <w:r w:rsidRPr="004A7EDA">
              <w:t xml:space="preserve"> COVID-19. Regular roundtables were convened to ensure key stakeholders and sector leads were consulted and briefed</w:t>
            </w:r>
            <w:r w:rsidR="002841E9">
              <w:t xml:space="preserve"> </w:t>
            </w:r>
            <w:r w:rsidRPr="004A7EDA">
              <w:t>on the changing/easing of COVID-19 related restrictions. There also continued to be a high number of roundtables/engagement</w:t>
            </w:r>
            <w:r w:rsidR="002841E9">
              <w:t xml:space="preserve"> </w:t>
            </w:r>
            <w:r w:rsidRPr="004A7EDA">
              <w:t>forums not related to COVID-19 that pivoted to be virtual and so were able to continue as in previous years.</w:t>
            </w:r>
          </w:p>
        </w:tc>
      </w:tr>
      <w:tr w:rsidR="004A7EDA" w:rsidRPr="004A7EDA" w14:paraId="50E42665" w14:textId="77777777" w:rsidTr="000143B1">
        <w:trPr>
          <w:trHeight w:val="113"/>
        </w:trPr>
        <w:tc>
          <w:tcPr>
            <w:tcW w:w="4479" w:type="dxa"/>
            <w:shd w:val="clear" w:color="auto" w:fill="auto"/>
            <w:tcMar>
              <w:top w:w="113" w:type="dxa"/>
              <w:left w:w="28" w:type="dxa"/>
              <w:bottom w:w="113" w:type="dxa"/>
              <w:right w:w="28" w:type="dxa"/>
            </w:tcMar>
          </w:tcPr>
          <w:p w14:paraId="0F3BC404" w14:textId="77777777" w:rsidR="004A7EDA" w:rsidRPr="004A7EDA" w:rsidRDefault="004A7EDA" w:rsidP="00991083">
            <w:pPr>
              <w:pStyle w:val="TableCopy"/>
              <w:rPr>
                <w:lang w:val="en-GB"/>
              </w:rPr>
            </w:pPr>
            <w:r w:rsidRPr="004A7EDA">
              <w:rPr>
                <w:lang w:val="en-GB"/>
              </w:rPr>
              <w:t>New mobile base stations facilitated</w:t>
            </w:r>
          </w:p>
        </w:tc>
        <w:tc>
          <w:tcPr>
            <w:tcW w:w="964" w:type="dxa"/>
            <w:shd w:val="clear" w:color="auto" w:fill="auto"/>
            <w:tcMar>
              <w:top w:w="113" w:type="dxa"/>
              <w:left w:w="28" w:type="dxa"/>
              <w:bottom w:w="113" w:type="dxa"/>
              <w:right w:w="28" w:type="dxa"/>
            </w:tcMar>
          </w:tcPr>
          <w:p w14:paraId="02DB9876"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3D749386" w14:textId="77777777" w:rsidR="004A7EDA" w:rsidRPr="004A7EDA" w:rsidRDefault="004A7EDA" w:rsidP="00991083">
            <w:pPr>
              <w:pStyle w:val="TableCopy"/>
              <w:rPr>
                <w:lang w:val="en-GB"/>
              </w:rPr>
            </w:pPr>
            <w:r w:rsidRPr="004A7EDA">
              <w:rPr>
                <w:lang w:val="en-GB"/>
              </w:rPr>
              <w:t>27</w:t>
            </w:r>
          </w:p>
        </w:tc>
        <w:tc>
          <w:tcPr>
            <w:tcW w:w="964" w:type="dxa"/>
            <w:shd w:val="clear" w:color="auto" w:fill="auto"/>
            <w:tcMar>
              <w:top w:w="113" w:type="dxa"/>
              <w:left w:w="28" w:type="dxa"/>
              <w:bottom w:w="113" w:type="dxa"/>
              <w:right w:w="28" w:type="dxa"/>
            </w:tcMar>
          </w:tcPr>
          <w:p w14:paraId="3C4C5F6A" w14:textId="77777777" w:rsidR="004A7EDA" w:rsidRPr="004A7EDA" w:rsidRDefault="004A7EDA" w:rsidP="00991083">
            <w:pPr>
              <w:pStyle w:val="TableCopy"/>
              <w:rPr>
                <w:lang w:val="en-GB"/>
              </w:rPr>
            </w:pPr>
            <w:r w:rsidRPr="004A7EDA">
              <w:rPr>
                <w:lang w:val="en-GB"/>
              </w:rPr>
              <w:t>45</w:t>
            </w:r>
          </w:p>
        </w:tc>
        <w:tc>
          <w:tcPr>
            <w:tcW w:w="1304" w:type="dxa"/>
            <w:shd w:val="clear" w:color="auto" w:fill="auto"/>
            <w:tcMar>
              <w:top w:w="113" w:type="dxa"/>
              <w:left w:w="28" w:type="dxa"/>
              <w:bottom w:w="113" w:type="dxa"/>
              <w:right w:w="28" w:type="dxa"/>
            </w:tcMar>
          </w:tcPr>
          <w:p w14:paraId="58F526EB" w14:textId="77777777" w:rsidR="004A7EDA" w:rsidRPr="004A7EDA" w:rsidRDefault="004A7EDA" w:rsidP="00991083">
            <w:pPr>
              <w:pStyle w:val="TableCopy"/>
              <w:rPr>
                <w:lang w:val="en-GB"/>
              </w:rPr>
            </w:pPr>
            <w:r w:rsidRPr="004A7EDA">
              <w:rPr>
                <w:lang w:val="en-GB"/>
              </w:rPr>
              <w:t>-40.0%</w:t>
            </w:r>
          </w:p>
        </w:tc>
        <w:tc>
          <w:tcPr>
            <w:tcW w:w="964" w:type="dxa"/>
            <w:shd w:val="clear" w:color="auto" w:fill="auto"/>
            <w:tcMar>
              <w:top w:w="113" w:type="dxa"/>
              <w:left w:w="28" w:type="dxa"/>
              <w:bottom w:w="113" w:type="dxa"/>
              <w:right w:w="28" w:type="dxa"/>
            </w:tcMar>
          </w:tcPr>
          <w:p w14:paraId="4FE2F52A" w14:textId="33E43ED4" w:rsidR="004A7EDA" w:rsidRPr="004A7EDA" w:rsidRDefault="00113763" w:rsidP="00991083">
            <w:pPr>
              <w:pStyle w:val="TableCopy"/>
              <w:rPr>
                <w:lang w:val="en-GB"/>
              </w:rPr>
            </w:pPr>
            <w:r>
              <w:rPr>
                <w:lang w:val="en-GB"/>
              </w:rPr>
              <w:t>#</w:t>
            </w:r>
          </w:p>
        </w:tc>
      </w:tr>
      <w:tr w:rsidR="004A7EDA" w:rsidRPr="004A7EDA" w14:paraId="6BD79310" w14:textId="77777777" w:rsidTr="000143B1">
        <w:trPr>
          <w:trHeight w:val="113"/>
        </w:trPr>
        <w:tc>
          <w:tcPr>
            <w:tcW w:w="9638" w:type="dxa"/>
            <w:gridSpan w:val="6"/>
            <w:shd w:val="clear" w:color="auto" w:fill="auto"/>
            <w:tcMar>
              <w:top w:w="113" w:type="dxa"/>
              <w:left w:w="113" w:type="dxa"/>
              <w:bottom w:w="113" w:type="dxa"/>
              <w:right w:w="113" w:type="dxa"/>
            </w:tcMar>
          </w:tcPr>
          <w:p w14:paraId="5BA1DE3C" w14:textId="5AFC3972" w:rsidR="004A7EDA" w:rsidRPr="004A7EDA" w:rsidRDefault="004A7EDA" w:rsidP="00991083">
            <w:pPr>
              <w:pStyle w:val="TableCopy"/>
            </w:pPr>
            <w:r w:rsidRPr="004A7EDA">
              <w:t>Lower result due to the Commonwealth Government’s decisions regarding timing and quantum of funding awarded through their</w:t>
            </w:r>
            <w:r w:rsidR="002841E9">
              <w:t xml:space="preserve"> </w:t>
            </w:r>
            <w:r w:rsidRPr="004A7EDA">
              <w:t>Mobile Black Spots Program, as well as delay in the rollout of the mobile towers managed by the mobile carriers. This delay is due</w:t>
            </w:r>
            <w:r w:rsidR="002841E9">
              <w:t xml:space="preserve"> </w:t>
            </w:r>
            <w:r w:rsidRPr="004A7EDA">
              <w:t>to factors including COVID-19 impacts. It is expected that contracted new mobile base stations not completed in 2020–21 will be</w:t>
            </w:r>
            <w:r w:rsidR="002841E9">
              <w:t xml:space="preserve"> </w:t>
            </w:r>
            <w:r w:rsidRPr="004A7EDA">
              <w:t>able to be completed in 2021–22.</w:t>
            </w:r>
          </w:p>
        </w:tc>
      </w:tr>
      <w:tr w:rsidR="004A7EDA" w:rsidRPr="004A7EDA" w14:paraId="7A65F8C8" w14:textId="77777777" w:rsidTr="000143B1">
        <w:trPr>
          <w:trHeight w:val="113"/>
        </w:trPr>
        <w:tc>
          <w:tcPr>
            <w:tcW w:w="4479" w:type="dxa"/>
            <w:shd w:val="clear" w:color="auto" w:fill="auto"/>
            <w:tcMar>
              <w:top w:w="113" w:type="dxa"/>
              <w:left w:w="28" w:type="dxa"/>
              <w:bottom w:w="113" w:type="dxa"/>
              <w:right w:w="28" w:type="dxa"/>
            </w:tcMar>
          </w:tcPr>
          <w:p w14:paraId="4831C2E6" w14:textId="77777777" w:rsidR="004A7EDA" w:rsidRPr="004A7EDA" w:rsidRDefault="004A7EDA" w:rsidP="00991083">
            <w:pPr>
              <w:pStyle w:val="TableCopy"/>
              <w:rPr>
                <w:lang w:val="en-GB"/>
              </w:rPr>
            </w:pPr>
            <w:r w:rsidRPr="004A7EDA">
              <w:rPr>
                <w:lang w:val="en-GB"/>
              </w:rPr>
              <w:t>Participation in Small Business Victoria targeted</w:t>
            </w:r>
            <w:r w:rsidRPr="004A7EDA">
              <w:rPr>
                <w:lang w:val="en-GB"/>
              </w:rPr>
              <w:br/>
              <w:t>and inclusive events and business programs</w:t>
            </w:r>
          </w:p>
        </w:tc>
        <w:tc>
          <w:tcPr>
            <w:tcW w:w="964" w:type="dxa"/>
            <w:shd w:val="clear" w:color="auto" w:fill="auto"/>
            <w:tcMar>
              <w:top w:w="113" w:type="dxa"/>
              <w:left w:w="28" w:type="dxa"/>
              <w:bottom w:w="113" w:type="dxa"/>
              <w:right w:w="28" w:type="dxa"/>
            </w:tcMar>
          </w:tcPr>
          <w:p w14:paraId="380ED596"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2C24A1C7" w14:textId="77777777" w:rsidR="004A7EDA" w:rsidRPr="004A7EDA" w:rsidRDefault="004A7EDA" w:rsidP="00991083">
            <w:pPr>
              <w:pStyle w:val="TableCopy"/>
              <w:rPr>
                <w:lang w:val="en-GB"/>
              </w:rPr>
            </w:pPr>
            <w:r w:rsidRPr="004A7EDA">
              <w:rPr>
                <w:lang w:val="en-GB"/>
              </w:rPr>
              <w:t>27,014</w:t>
            </w:r>
          </w:p>
        </w:tc>
        <w:tc>
          <w:tcPr>
            <w:tcW w:w="964" w:type="dxa"/>
            <w:shd w:val="clear" w:color="auto" w:fill="auto"/>
            <w:tcMar>
              <w:top w:w="113" w:type="dxa"/>
              <w:left w:w="28" w:type="dxa"/>
              <w:bottom w:w="113" w:type="dxa"/>
              <w:right w:w="28" w:type="dxa"/>
            </w:tcMar>
          </w:tcPr>
          <w:p w14:paraId="145F114F" w14:textId="77777777" w:rsidR="004A7EDA" w:rsidRPr="004A7EDA" w:rsidRDefault="004A7EDA" w:rsidP="00991083">
            <w:pPr>
              <w:pStyle w:val="TableCopy"/>
              <w:rPr>
                <w:lang w:val="en-GB"/>
              </w:rPr>
            </w:pPr>
            <w:r w:rsidRPr="004A7EDA">
              <w:rPr>
                <w:lang w:val="en-GB"/>
              </w:rPr>
              <w:t>30,000</w:t>
            </w:r>
          </w:p>
        </w:tc>
        <w:tc>
          <w:tcPr>
            <w:tcW w:w="1304" w:type="dxa"/>
            <w:shd w:val="clear" w:color="auto" w:fill="auto"/>
            <w:tcMar>
              <w:top w:w="113" w:type="dxa"/>
              <w:left w:w="28" w:type="dxa"/>
              <w:bottom w:w="113" w:type="dxa"/>
              <w:right w:w="28" w:type="dxa"/>
            </w:tcMar>
          </w:tcPr>
          <w:p w14:paraId="1E27B827" w14:textId="77777777" w:rsidR="004A7EDA" w:rsidRPr="004A7EDA" w:rsidRDefault="004A7EDA" w:rsidP="00991083">
            <w:pPr>
              <w:pStyle w:val="TableCopy"/>
              <w:rPr>
                <w:lang w:val="en-GB"/>
              </w:rPr>
            </w:pPr>
            <w:r w:rsidRPr="004A7EDA">
              <w:rPr>
                <w:lang w:val="en-GB"/>
              </w:rPr>
              <w:t>-10.0%</w:t>
            </w:r>
          </w:p>
        </w:tc>
        <w:tc>
          <w:tcPr>
            <w:tcW w:w="964" w:type="dxa"/>
            <w:shd w:val="clear" w:color="auto" w:fill="auto"/>
            <w:tcMar>
              <w:top w:w="113" w:type="dxa"/>
              <w:left w:w="28" w:type="dxa"/>
              <w:bottom w:w="113" w:type="dxa"/>
              <w:right w:w="28" w:type="dxa"/>
            </w:tcMar>
          </w:tcPr>
          <w:p w14:paraId="74D06956" w14:textId="1C1496A6" w:rsidR="004A7EDA" w:rsidRPr="004A7EDA" w:rsidRDefault="00113763" w:rsidP="00991083">
            <w:pPr>
              <w:pStyle w:val="TableCopy"/>
              <w:rPr>
                <w:lang w:val="en-GB"/>
              </w:rPr>
            </w:pPr>
            <w:r>
              <w:rPr>
                <w:lang w:val="en-GB"/>
              </w:rPr>
              <w:t>#</w:t>
            </w:r>
          </w:p>
        </w:tc>
      </w:tr>
      <w:tr w:rsidR="004A7EDA" w:rsidRPr="004A7EDA" w14:paraId="43C4A50D" w14:textId="77777777" w:rsidTr="000143B1">
        <w:trPr>
          <w:trHeight w:val="113"/>
        </w:trPr>
        <w:tc>
          <w:tcPr>
            <w:tcW w:w="9638" w:type="dxa"/>
            <w:gridSpan w:val="6"/>
            <w:shd w:val="clear" w:color="auto" w:fill="auto"/>
            <w:tcMar>
              <w:top w:w="113" w:type="dxa"/>
              <w:left w:w="113" w:type="dxa"/>
              <w:bottom w:w="113" w:type="dxa"/>
              <w:right w:w="113" w:type="dxa"/>
            </w:tcMar>
          </w:tcPr>
          <w:p w14:paraId="35060A44" w14:textId="77777777" w:rsidR="004A7EDA" w:rsidRPr="004A7EDA" w:rsidRDefault="004A7EDA" w:rsidP="00991083">
            <w:pPr>
              <w:pStyle w:val="TableCopy"/>
            </w:pPr>
            <w:r w:rsidRPr="004A7EDA">
              <w:t>Lower result due to access impediments caused by COVID-19 restrictions, particularly in the first half of 2020–21.</w:t>
            </w:r>
          </w:p>
        </w:tc>
      </w:tr>
      <w:tr w:rsidR="004A7EDA" w:rsidRPr="004A7EDA" w14:paraId="50B1AD7F" w14:textId="77777777" w:rsidTr="000143B1">
        <w:trPr>
          <w:trHeight w:val="113"/>
        </w:trPr>
        <w:tc>
          <w:tcPr>
            <w:tcW w:w="4479" w:type="dxa"/>
            <w:shd w:val="clear" w:color="auto" w:fill="auto"/>
            <w:tcMar>
              <w:top w:w="113" w:type="dxa"/>
              <w:left w:w="28" w:type="dxa"/>
              <w:bottom w:w="113" w:type="dxa"/>
              <w:right w:w="28" w:type="dxa"/>
            </w:tcMar>
          </w:tcPr>
          <w:p w14:paraId="69FCAF19" w14:textId="77777777" w:rsidR="004A7EDA" w:rsidRPr="004A7EDA" w:rsidRDefault="004A7EDA" w:rsidP="00991083">
            <w:pPr>
              <w:pStyle w:val="TableCopy"/>
              <w:rPr>
                <w:lang w:val="en-GB"/>
              </w:rPr>
            </w:pPr>
            <w:r w:rsidRPr="004A7EDA">
              <w:rPr>
                <w:lang w:val="en-GB"/>
              </w:rPr>
              <w:t>Visits to Business Victoria digital channels</w:t>
            </w:r>
          </w:p>
        </w:tc>
        <w:tc>
          <w:tcPr>
            <w:tcW w:w="964" w:type="dxa"/>
            <w:shd w:val="clear" w:color="auto" w:fill="auto"/>
            <w:tcMar>
              <w:top w:w="113" w:type="dxa"/>
              <w:left w:w="28" w:type="dxa"/>
              <w:bottom w:w="113" w:type="dxa"/>
              <w:right w:w="28" w:type="dxa"/>
            </w:tcMar>
          </w:tcPr>
          <w:p w14:paraId="1DD647F2"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4092DE0A" w14:textId="77777777" w:rsidR="004A7EDA" w:rsidRPr="004A7EDA" w:rsidRDefault="004A7EDA" w:rsidP="00991083">
            <w:pPr>
              <w:pStyle w:val="TableCopy"/>
              <w:rPr>
                <w:lang w:val="en-GB"/>
              </w:rPr>
            </w:pPr>
            <w:r w:rsidRPr="004A7EDA">
              <w:rPr>
                <w:lang w:val="en-GB"/>
              </w:rPr>
              <w:t>11,939,871</w:t>
            </w:r>
          </w:p>
        </w:tc>
        <w:tc>
          <w:tcPr>
            <w:tcW w:w="964" w:type="dxa"/>
            <w:shd w:val="clear" w:color="auto" w:fill="auto"/>
            <w:tcMar>
              <w:top w:w="113" w:type="dxa"/>
              <w:left w:w="28" w:type="dxa"/>
              <w:bottom w:w="113" w:type="dxa"/>
              <w:right w:w="28" w:type="dxa"/>
            </w:tcMar>
          </w:tcPr>
          <w:p w14:paraId="5D5CF847" w14:textId="77777777" w:rsidR="004A7EDA" w:rsidRPr="004A7EDA" w:rsidRDefault="004A7EDA" w:rsidP="00991083">
            <w:pPr>
              <w:pStyle w:val="TableCopy"/>
              <w:rPr>
                <w:lang w:val="en-GB"/>
              </w:rPr>
            </w:pPr>
            <w:r w:rsidRPr="004A7EDA">
              <w:rPr>
                <w:lang w:val="en-GB"/>
              </w:rPr>
              <w:t>3,000,000</w:t>
            </w:r>
          </w:p>
        </w:tc>
        <w:tc>
          <w:tcPr>
            <w:tcW w:w="1304" w:type="dxa"/>
            <w:shd w:val="clear" w:color="auto" w:fill="auto"/>
            <w:tcMar>
              <w:top w:w="113" w:type="dxa"/>
              <w:left w:w="28" w:type="dxa"/>
              <w:bottom w:w="113" w:type="dxa"/>
              <w:right w:w="28" w:type="dxa"/>
            </w:tcMar>
          </w:tcPr>
          <w:p w14:paraId="52ADA30B" w14:textId="77777777" w:rsidR="004A7EDA" w:rsidRPr="004A7EDA" w:rsidRDefault="004A7EDA" w:rsidP="00991083">
            <w:pPr>
              <w:pStyle w:val="TableCopy"/>
              <w:rPr>
                <w:lang w:val="en-GB"/>
              </w:rPr>
            </w:pPr>
            <w:r w:rsidRPr="004A7EDA">
              <w:rPr>
                <w:lang w:val="en-GB"/>
              </w:rPr>
              <w:t>298.0%</w:t>
            </w:r>
          </w:p>
        </w:tc>
        <w:tc>
          <w:tcPr>
            <w:tcW w:w="964" w:type="dxa"/>
            <w:shd w:val="clear" w:color="auto" w:fill="auto"/>
            <w:tcMar>
              <w:top w:w="113" w:type="dxa"/>
              <w:left w:w="28" w:type="dxa"/>
              <w:bottom w:w="113" w:type="dxa"/>
              <w:right w:w="28" w:type="dxa"/>
            </w:tcMar>
          </w:tcPr>
          <w:p w14:paraId="6A54C25F" w14:textId="6AAB842E" w:rsidR="004A7EDA" w:rsidRPr="004A7EDA" w:rsidRDefault="002841E9" w:rsidP="00991083">
            <w:pPr>
              <w:pStyle w:val="TableCopy"/>
              <w:rPr>
                <w:lang w:val="en-GB"/>
              </w:rPr>
            </w:pPr>
            <w:r>
              <w:rPr>
                <w:lang w:val="en-GB"/>
              </w:rPr>
              <w:t>*</w:t>
            </w:r>
          </w:p>
        </w:tc>
      </w:tr>
      <w:tr w:rsidR="004A7EDA" w:rsidRPr="004A7EDA" w14:paraId="4EF63D01" w14:textId="77777777" w:rsidTr="000143B1">
        <w:trPr>
          <w:trHeight w:val="113"/>
        </w:trPr>
        <w:tc>
          <w:tcPr>
            <w:tcW w:w="9638" w:type="dxa"/>
            <w:gridSpan w:val="6"/>
            <w:shd w:val="clear" w:color="auto" w:fill="auto"/>
            <w:tcMar>
              <w:top w:w="113" w:type="dxa"/>
              <w:left w:w="113" w:type="dxa"/>
              <w:bottom w:w="113" w:type="dxa"/>
              <w:right w:w="113" w:type="dxa"/>
            </w:tcMar>
          </w:tcPr>
          <w:p w14:paraId="4B59CC0F" w14:textId="167F4168" w:rsidR="004A7EDA" w:rsidRPr="004A7EDA" w:rsidRDefault="004A7EDA" w:rsidP="00991083">
            <w:pPr>
              <w:pStyle w:val="TableCopy"/>
            </w:pPr>
            <w:r w:rsidRPr="004A7EDA">
              <w:t>Higher result due to increased traffic which can be attributed to people accessing Business Support Fund grants, the Regional Travel Voucher Scheme, COVID-19 support programs and information on changes in business restrictions due to COVID-19. Traffic is expected</w:t>
            </w:r>
            <w:r w:rsidR="002841E9">
              <w:t xml:space="preserve"> </w:t>
            </w:r>
            <w:r w:rsidRPr="004A7EDA">
              <w:t>to return to lower business as usual levels in 2021–22.</w:t>
            </w:r>
          </w:p>
        </w:tc>
      </w:tr>
      <w:tr w:rsidR="004A7EDA" w:rsidRPr="004A7EDA" w14:paraId="2D06A0B7" w14:textId="77777777" w:rsidTr="000143B1">
        <w:trPr>
          <w:trHeight w:val="113"/>
        </w:trPr>
        <w:tc>
          <w:tcPr>
            <w:tcW w:w="9638" w:type="dxa"/>
            <w:gridSpan w:val="6"/>
            <w:shd w:val="clear" w:color="auto" w:fill="auto"/>
            <w:tcMar>
              <w:top w:w="113" w:type="dxa"/>
              <w:left w:w="28" w:type="dxa"/>
              <w:bottom w:w="113" w:type="dxa"/>
              <w:right w:w="28" w:type="dxa"/>
            </w:tcMar>
          </w:tcPr>
          <w:p w14:paraId="578F3C3C" w14:textId="77777777" w:rsidR="004A7EDA" w:rsidRPr="004A7EDA" w:rsidRDefault="004A7EDA" w:rsidP="00991083">
            <w:pPr>
              <w:pStyle w:val="TableCopy"/>
              <w:rPr>
                <w:lang w:val="en-GB"/>
              </w:rPr>
            </w:pPr>
            <w:r w:rsidRPr="004A7EDA">
              <w:rPr>
                <w:lang w:val="en-GB"/>
              </w:rPr>
              <w:t>Quality</w:t>
            </w:r>
          </w:p>
        </w:tc>
      </w:tr>
      <w:tr w:rsidR="004A7EDA" w:rsidRPr="004A7EDA" w14:paraId="22593D84" w14:textId="77777777" w:rsidTr="000143B1">
        <w:trPr>
          <w:trHeight w:val="113"/>
        </w:trPr>
        <w:tc>
          <w:tcPr>
            <w:tcW w:w="4479" w:type="dxa"/>
            <w:shd w:val="clear" w:color="auto" w:fill="auto"/>
            <w:tcMar>
              <w:top w:w="113" w:type="dxa"/>
              <w:left w:w="28" w:type="dxa"/>
              <w:bottom w:w="113" w:type="dxa"/>
              <w:right w:w="28" w:type="dxa"/>
            </w:tcMar>
          </w:tcPr>
          <w:p w14:paraId="72505AED" w14:textId="77777777" w:rsidR="004A7EDA" w:rsidRPr="004A7EDA" w:rsidRDefault="004A7EDA" w:rsidP="00991083">
            <w:pPr>
              <w:pStyle w:val="TableCopy"/>
              <w:rPr>
                <w:lang w:val="en-GB"/>
              </w:rPr>
            </w:pPr>
            <w:r w:rsidRPr="004A7EDA">
              <w:rPr>
                <w:lang w:val="en-GB"/>
              </w:rPr>
              <w:t>Client satisfaction of small business information, referral, mentoring service and business programs</w:t>
            </w:r>
          </w:p>
        </w:tc>
        <w:tc>
          <w:tcPr>
            <w:tcW w:w="964" w:type="dxa"/>
            <w:shd w:val="clear" w:color="auto" w:fill="auto"/>
            <w:tcMar>
              <w:top w:w="113" w:type="dxa"/>
              <w:left w:w="28" w:type="dxa"/>
              <w:bottom w:w="113" w:type="dxa"/>
              <w:right w:w="28" w:type="dxa"/>
            </w:tcMar>
          </w:tcPr>
          <w:p w14:paraId="0FBD3D1F"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69DE8E06" w14:textId="77777777" w:rsidR="004A7EDA" w:rsidRPr="004A7EDA" w:rsidRDefault="004A7EDA" w:rsidP="00991083">
            <w:pPr>
              <w:pStyle w:val="TableCopy"/>
              <w:rPr>
                <w:lang w:val="en-GB"/>
              </w:rPr>
            </w:pPr>
            <w:r w:rsidRPr="004A7EDA">
              <w:rPr>
                <w:lang w:val="en-GB"/>
              </w:rPr>
              <w:t>95.3</w:t>
            </w:r>
          </w:p>
        </w:tc>
        <w:tc>
          <w:tcPr>
            <w:tcW w:w="964" w:type="dxa"/>
            <w:shd w:val="clear" w:color="auto" w:fill="auto"/>
            <w:tcMar>
              <w:top w:w="113" w:type="dxa"/>
              <w:left w:w="28" w:type="dxa"/>
              <w:bottom w:w="113" w:type="dxa"/>
              <w:right w:w="28" w:type="dxa"/>
            </w:tcMar>
          </w:tcPr>
          <w:p w14:paraId="19FB6C20" w14:textId="77777777" w:rsidR="004A7EDA" w:rsidRPr="004A7EDA" w:rsidRDefault="004A7EDA" w:rsidP="0099108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5D6FC956" w14:textId="77777777" w:rsidR="004A7EDA" w:rsidRPr="004A7EDA" w:rsidRDefault="004A7EDA" w:rsidP="00991083">
            <w:pPr>
              <w:pStyle w:val="TableCopy"/>
              <w:rPr>
                <w:lang w:val="en-GB"/>
              </w:rPr>
            </w:pPr>
            <w:r w:rsidRPr="004A7EDA">
              <w:rPr>
                <w:lang w:val="en-GB"/>
              </w:rPr>
              <w:t>5.9%</w:t>
            </w:r>
          </w:p>
        </w:tc>
        <w:tc>
          <w:tcPr>
            <w:tcW w:w="964" w:type="dxa"/>
            <w:shd w:val="clear" w:color="auto" w:fill="auto"/>
            <w:tcMar>
              <w:top w:w="113" w:type="dxa"/>
              <w:left w:w="28" w:type="dxa"/>
              <w:bottom w:w="113" w:type="dxa"/>
              <w:right w:w="28" w:type="dxa"/>
            </w:tcMar>
          </w:tcPr>
          <w:p w14:paraId="248BCD8C" w14:textId="1DC8CE38" w:rsidR="004A7EDA" w:rsidRPr="004A7EDA" w:rsidRDefault="002841E9" w:rsidP="00991083">
            <w:pPr>
              <w:pStyle w:val="TableCopy"/>
              <w:rPr>
                <w:lang w:val="en-GB"/>
              </w:rPr>
            </w:pPr>
            <w:r>
              <w:rPr>
                <w:lang w:val="en-GB"/>
              </w:rPr>
              <w:t>*</w:t>
            </w:r>
          </w:p>
        </w:tc>
      </w:tr>
      <w:tr w:rsidR="004A7EDA" w:rsidRPr="004A7EDA" w14:paraId="28735D09" w14:textId="77777777" w:rsidTr="000143B1">
        <w:trPr>
          <w:trHeight w:val="113"/>
        </w:trPr>
        <w:tc>
          <w:tcPr>
            <w:tcW w:w="9638" w:type="dxa"/>
            <w:gridSpan w:val="6"/>
            <w:shd w:val="clear" w:color="auto" w:fill="auto"/>
            <w:tcMar>
              <w:top w:w="113" w:type="dxa"/>
              <w:left w:w="113" w:type="dxa"/>
              <w:bottom w:w="113" w:type="dxa"/>
              <w:right w:w="113" w:type="dxa"/>
            </w:tcMar>
          </w:tcPr>
          <w:p w14:paraId="5499B9A2" w14:textId="77777777" w:rsidR="004A7EDA" w:rsidRPr="004A7EDA" w:rsidRDefault="004A7EDA" w:rsidP="00991083">
            <w:pPr>
              <w:pStyle w:val="TableCopy"/>
            </w:pPr>
            <w:r w:rsidRPr="004A7EDA">
              <w:t xml:space="preserve">Higher result due to significantly higher than expected results reported under the Business Recovery and Resilience Mentoring program. Mentee Satisfaction under this program reported 97.1 per cent were ‘satisfied’ to ‘very satisfied’ with the mentoring </w:t>
            </w:r>
            <w:proofErr w:type="gramStart"/>
            <w:r w:rsidRPr="004A7EDA">
              <w:t>received, and</w:t>
            </w:r>
            <w:proofErr w:type="gramEnd"/>
            <w:r w:rsidRPr="004A7EDA">
              <w:t xml:space="preserve"> found mentors’ insights and practical advice for their business to be very helpful in building confidence, solving business problems and overcoming obstacles. </w:t>
            </w:r>
          </w:p>
        </w:tc>
      </w:tr>
      <w:tr w:rsidR="004A7EDA" w:rsidRPr="004A7EDA" w14:paraId="1385B18B" w14:textId="77777777" w:rsidTr="000143B1">
        <w:trPr>
          <w:trHeight w:val="113"/>
        </w:trPr>
        <w:tc>
          <w:tcPr>
            <w:tcW w:w="4479" w:type="dxa"/>
            <w:shd w:val="clear" w:color="auto" w:fill="auto"/>
            <w:tcMar>
              <w:top w:w="113" w:type="dxa"/>
              <w:left w:w="28" w:type="dxa"/>
              <w:bottom w:w="113" w:type="dxa"/>
              <w:right w:w="28" w:type="dxa"/>
            </w:tcMar>
          </w:tcPr>
          <w:p w14:paraId="6CC4EC4C" w14:textId="77777777" w:rsidR="004A7EDA" w:rsidRPr="004A7EDA" w:rsidRDefault="004A7EDA" w:rsidP="00991083">
            <w:pPr>
              <w:pStyle w:val="TableCopy"/>
              <w:rPr>
                <w:lang w:val="en-GB"/>
              </w:rPr>
            </w:pPr>
            <w:r w:rsidRPr="004A7EDA">
              <w:rPr>
                <w:lang w:val="en-GB"/>
              </w:rPr>
              <w:t>Client satisfaction with the Victorian Government Business Offices</w:t>
            </w:r>
          </w:p>
        </w:tc>
        <w:tc>
          <w:tcPr>
            <w:tcW w:w="964" w:type="dxa"/>
            <w:shd w:val="clear" w:color="auto" w:fill="auto"/>
            <w:tcMar>
              <w:top w:w="113" w:type="dxa"/>
              <w:left w:w="28" w:type="dxa"/>
              <w:bottom w:w="113" w:type="dxa"/>
              <w:right w:w="28" w:type="dxa"/>
            </w:tcMar>
          </w:tcPr>
          <w:p w14:paraId="59AA0B21"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6B79E400" w14:textId="77777777" w:rsidR="004A7EDA" w:rsidRPr="004A7EDA" w:rsidRDefault="004A7EDA" w:rsidP="00991083">
            <w:pPr>
              <w:pStyle w:val="TableCopy"/>
              <w:rPr>
                <w:lang w:val="en-GB"/>
              </w:rPr>
            </w:pPr>
            <w:r w:rsidRPr="004A7EDA">
              <w:rPr>
                <w:lang w:val="en-GB"/>
              </w:rPr>
              <w:t>76.4</w:t>
            </w:r>
          </w:p>
        </w:tc>
        <w:tc>
          <w:tcPr>
            <w:tcW w:w="964" w:type="dxa"/>
            <w:shd w:val="clear" w:color="auto" w:fill="auto"/>
            <w:tcMar>
              <w:top w:w="113" w:type="dxa"/>
              <w:left w:w="28" w:type="dxa"/>
              <w:bottom w:w="113" w:type="dxa"/>
              <w:right w:w="28" w:type="dxa"/>
            </w:tcMar>
          </w:tcPr>
          <w:p w14:paraId="3E2CCD3C" w14:textId="77777777" w:rsidR="004A7EDA" w:rsidRPr="004A7EDA" w:rsidRDefault="004A7EDA" w:rsidP="00991083">
            <w:pPr>
              <w:pStyle w:val="TableCopy"/>
              <w:rPr>
                <w:lang w:val="en-GB"/>
              </w:rPr>
            </w:pPr>
            <w:r w:rsidRPr="004A7EDA">
              <w:rPr>
                <w:lang w:val="en-GB"/>
              </w:rPr>
              <w:t>80</w:t>
            </w:r>
          </w:p>
        </w:tc>
        <w:tc>
          <w:tcPr>
            <w:tcW w:w="1304" w:type="dxa"/>
            <w:shd w:val="clear" w:color="auto" w:fill="auto"/>
            <w:tcMar>
              <w:top w:w="113" w:type="dxa"/>
              <w:left w:w="28" w:type="dxa"/>
              <w:bottom w:w="113" w:type="dxa"/>
              <w:right w:w="28" w:type="dxa"/>
            </w:tcMar>
          </w:tcPr>
          <w:p w14:paraId="57CA4CBD" w14:textId="77777777" w:rsidR="004A7EDA" w:rsidRPr="004A7EDA" w:rsidRDefault="004A7EDA" w:rsidP="00991083">
            <w:pPr>
              <w:pStyle w:val="TableCopy"/>
              <w:rPr>
                <w:lang w:val="en-GB"/>
              </w:rPr>
            </w:pPr>
            <w:r w:rsidRPr="004A7EDA">
              <w:rPr>
                <w:lang w:val="en-GB"/>
              </w:rPr>
              <w:t>-4.5%</w:t>
            </w:r>
          </w:p>
        </w:tc>
        <w:tc>
          <w:tcPr>
            <w:tcW w:w="964" w:type="dxa"/>
            <w:shd w:val="clear" w:color="auto" w:fill="auto"/>
            <w:tcMar>
              <w:top w:w="113" w:type="dxa"/>
              <w:left w:w="28" w:type="dxa"/>
              <w:bottom w:w="113" w:type="dxa"/>
              <w:right w:w="28" w:type="dxa"/>
            </w:tcMar>
          </w:tcPr>
          <w:p w14:paraId="06EED59E" w14:textId="2427A9F6" w:rsidR="004A7EDA" w:rsidRPr="004A7EDA" w:rsidRDefault="00113763" w:rsidP="00991083">
            <w:pPr>
              <w:pStyle w:val="TableCopy"/>
              <w:rPr>
                <w:lang w:val="en-GB"/>
              </w:rPr>
            </w:pPr>
            <w:r>
              <w:rPr>
                <w:lang w:val="en-GB"/>
              </w:rPr>
              <w:t>–</w:t>
            </w:r>
          </w:p>
        </w:tc>
      </w:tr>
      <w:tr w:rsidR="004A7EDA" w:rsidRPr="004A7EDA" w14:paraId="1F63F38C" w14:textId="77777777" w:rsidTr="000143B1">
        <w:trPr>
          <w:trHeight w:val="113"/>
        </w:trPr>
        <w:tc>
          <w:tcPr>
            <w:tcW w:w="4479" w:type="dxa"/>
            <w:shd w:val="clear" w:color="auto" w:fill="auto"/>
            <w:tcMar>
              <w:top w:w="113" w:type="dxa"/>
              <w:left w:w="28" w:type="dxa"/>
              <w:bottom w:w="113" w:type="dxa"/>
              <w:right w:w="28" w:type="dxa"/>
            </w:tcMar>
          </w:tcPr>
          <w:p w14:paraId="0AF8DC3E" w14:textId="77777777" w:rsidR="004A7EDA" w:rsidRPr="004A7EDA" w:rsidRDefault="004A7EDA" w:rsidP="00991083">
            <w:pPr>
              <w:pStyle w:val="TableCopy"/>
              <w:rPr>
                <w:lang w:val="en-GB"/>
              </w:rPr>
            </w:pPr>
            <w:r w:rsidRPr="004A7EDA">
              <w:rPr>
                <w:lang w:val="en-GB"/>
              </w:rPr>
              <w:t>Client satisfaction with Victorian Small Business Commission mediation service</w:t>
            </w:r>
          </w:p>
        </w:tc>
        <w:tc>
          <w:tcPr>
            <w:tcW w:w="964" w:type="dxa"/>
            <w:shd w:val="clear" w:color="auto" w:fill="auto"/>
            <w:tcMar>
              <w:top w:w="113" w:type="dxa"/>
              <w:left w:w="28" w:type="dxa"/>
              <w:bottom w:w="113" w:type="dxa"/>
              <w:right w:w="28" w:type="dxa"/>
            </w:tcMar>
          </w:tcPr>
          <w:p w14:paraId="0825F997"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33E4B8C6" w14:textId="77777777" w:rsidR="004A7EDA" w:rsidRPr="004A7EDA" w:rsidRDefault="004A7EDA" w:rsidP="00991083">
            <w:pPr>
              <w:pStyle w:val="TableCopy"/>
              <w:rPr>
                <w:lang w:val="en-GB"/>
              </w:rPr>
            </w:pPr>
            <w:r w:rsidRPr="004A7EDA">
              <w:rPr>
                <w:lang w:val="en-GB"/>
              </w:rPr>
              <w:t>81.2</w:t>
            </w:r>
          </w:p>
        </w:tc>
        <w:tc>
          <w:tcPr>
            <w:tcW w:w="964" w:type="dxa"/>
            <w:shd w:val="clear" w:color="auto" w:fill="auto"/>
            <w:tcMar>
              <w:top w:w="113" w:type="dxa"/>
              <w:left w:w="28" w:type="dxa"/>
              <w:bottom w:w="113" w:type="dxa"/>
              <w:right w:w="28" w:type="dxa"/>
            </w:tcMar>
          </w:tcPr>
          <w:p w14:paraId="68915021" w14:textId="77777777" w:rsidR="004A7EDA" w:rsidRPr="004A7EDA" w:rsidRDefault="004A7EDA" w:rsidP="00991083">
            <w:pPr>
              <w:pStyle w:val="TableCopy"/>
              <w:rPr>
                <w:lang w:val="en-GB"/>
              </w:rPr>
            </w:pPr>
            <w:r w:rsidRPr="004A7EDA">
              <w:rPr>
                <w:lang w:val="en-GB"/>
              </w:rPr>
              <w:t>85</w:t>
            </w:r>
          </w:p>
        </w:tc>
        <w:tc>
          <w:tcPr>
            <w:tcW w:w="1304" w:type="dxa"/>
            <w:shd w:val="clear" w:color="auto" w:fill="auto"/>
            <w:tcMar>
              <w:top w:w="113" w:type="dxa"/>
              <w:left w:w="28" w:type="dxa"/>
              <w:bottom w:w="113" w:type="dxa"/>
              <w:right w:w="28" w:type="dxa"/>
            </w:tcMar>
          </w:tcPr>
          <w:p w14:paraId="29BBF7C7" w14:textId="77777777" w:rsidR="004A7EDA" w:rsidRPr="004A7EDA" w:rsidRDefault="004A7EDA" w:rsidP="00991083">
            <w:pPr>
              <w:pStyle w:val="TableCopy"/>
              <w:rPr>
                <w:lang w:val="en-GB"/>
              </w:rPr>
            </w:pPr>
            <w:r w:rsidRPr="004A7EDA">
              <w:rPr>
                <w:lang w:val="en-GB"/>
              </w:rPr>
              <w:t>-4.5%</w:t>
            </w:r>
          </w:p>
        </w:tc>
        <w:tc>
          <w:tcPr>
            <w:tcW w:w="964" w:type="dxa"/>
            <w:shd w:val="clear" w:color="auto" w:fill="auto"/>
            <w:tcMar>
              <w:top w:w="113" w:type="dxa"/>
              <w:left w:w="28" w:type="dxa"/>
              <w:bottom w:w="113" w:type="dxa"/>
              <w:right w:w="28" w:type="dxa"/>
            </w:tcMar>
          </w:tcPr>
          <w:p w14:paraId="2B1D5573" w14:textId="1C00D3EA" w:rsidR="004A7EDA" w:rsidRPr="004A7EDA" w:rsidRDefault="00113763" w:rsidP="00991083">
            <w:pPr>
              <w:pStyle w:val="TableCopy"/>
              <w:rPr>
                <w:lang w:val="en-GB"/>
              </w:rPr>
            </w:pPr>
            <w:r>
              <w:rPr>
                <w:lang w:val="en-GB"/>
              </w:rPr>
              <w:t>–</w:t>
            </w:r>
          </w:p>
        </w:tc>
      </w:tr>
      <w:tr w:rsidR="004A7EDA" w:rsidRPr="004A7EDA" w14:paraId="5DBB7885" w14:textId="77777777" w:rsidTr="000143B1">
        <w:trPr>
          <w:trHeight w:val="113"/>
        </w:trPr>
        <w:tc>
          <w:tcPr>
            <w:tcW w:w="4479" w:type="dxa"/>
            <w:shd w:val="clear" w:color="auto" w:fill="auto"/>
            <w:tcMar>
              <w:top w:w="113" w:type="dxa"/>
              <w:left w:w="28" w:type="dxa"/>
              <w:bottom w:w="113" w:type="dxa"/>
              <w:right w:w="28" w:type="dxa"/>
            </w:tcMar>
          </w:tcPr>
          <w:p w14:paraId="5883025F" w14:textId="77777777" w:rsidR="004A7EDA" w:rsidRPr="004A7EDA" w:rsidRDefault="004A7EDA" w:rsidP="00991083">
            <w:pPr>
              <w:pStyle w:val="TableCopy"/>
              <w:rPr>
                <w:lang w:val="en-GB"/>
              </w:rPr>
            </w:pPr>
            <w:r w:rsidRPr="004A7EDA">
              <w:rPr>
                <w:lang w:val="en-GB"/>
              </w:rPr>
              <w:t>Proportion of business disputes presented to the Victorian Small Business Commission successfully mediated</w:t>
            </w:r>
          </w:p>
        </w:tc>
        <w:tc>
          <w:tcPr>
            <w:tcW w:w="964" w:type="dxa"/>
            <w:shd w:val="clear" w:color="auto" w:fill="auto"/>
            <w:tcMar>
              <w:top w:w="113" w:type="dxa"/>
              <w:left w:w="28" w:type="dxa"/>
              <w:bottom w:w="113" w:type="dxa"/>
              <w:right w:w="28" w:type="dxa"/>
            </w:tcMar>
          </w:tcPr>
          <w:p w14:paraId="34FEDF6A"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30CDA460" w14:textId="77777777" w:rsidR="004A7EDA" w:rsidRPr="004A7EDA" w:rsidRDefault="004A7EDA" w:rsidP="00991083">
            <w:pPr>
              <w:pStyle w:val="TableCopy"/>
              <w:rPr>
                <w:lang w:val="en-GB"/>
              </w:rPr>
            </w:pPr>
            <w:r w:rsidRPr="004A7EDA">
              <w:rPr>
                <w:lang w:val="en-GB"/>
              </w:rPr>
              <w:t>77</w:t>
            </w:r>
          </w:p>
        </w:tc>
        <w:tc>
          <w:tcPr>
            <w:tcW w:w="964" w:type="dxa"/>
            <w:shd w:val="clear" w:color="auto" w:fill="auto"/>
            <w:tcMar>
              <w:top w:w="113" w:type="dxa"/>
              <w:left w:w="28" w:type="dxa"/>
              <w:bottom w:w="113" w:type="dxa"/>
              <w:right w:w="28" w:type="dxa"/>
            </w:tcMar>
          </w:tcPr>
          <w:p w14:paraId="5C27B98F" w14:textId="77777777" w:rsidR="004A7EDA" w:rsidRPr="004A7EDA" w:rsidRDefault="004A7EDA" w:rsidP="00991083">
            <w:pPr>
              <w:pStyle w:val="TableCopy"/>
              <w:rPr>
                <w:lang w:val="en-GB"/>
              </w:rPr>
            </w:pPr>
            <w:r w:rsidRPr="004A7EDA">
              <w:rPr>
                <w:lang w:val="en-GB"/>
              </w:rPr>
              <w:t>75</w:t>
            </w:r>
          </w:p>
        </w:tc>
        <w:tc>
          <w:tcPr>
            <w:tcW w:w="1304" w:type="dxa"/>
            <w:shd w:val="clear" w:color="auto" w:fill="auto"/>
            <w:tcMar>
              <w:top w:w="113" w:type="dxa"/>
              <w:left w:w="28" w:type="dxa"/>
              <w:bottom w:w="113" w:type="dxa"/>
              <w:right w:w="28" w:type="dxa"/>
            </w:tcMar>
          </w:tcPr>
          <w:p w14:paraId="7B06961C" w14:textId="77777777" w:rsidR="004A7EDA" w:rsidRPr="004A7EDA" w:rsidRDefault="004A7EDA" w:rsidP="00991083">
            <w:pPr>
              <w:pStyle w:val="TableCopy"/>
              <w:rPr>
                <w:lang w:val="en-GB"/>
              </w:rPr>
            </w:pPr>
            <w:r w:rsidRPr="004A7EDA">
              <w:rPr>
                <w:lang w:val="en-GB"/>
              </w:rPr>
              <w:t>2.7%</w:t>
            </w:r>
          </w:p>
        </w:tc>
        <w:tc>
          <w:tcPr>
            <w:tcW w:w="964" w:type="dxa"/>
            <w:shd w:val="clear" w:color="auto" w:fill="auto"/>
            <w:tcMar>
              <w:top w:w="113" w:type="dxa"/>
              <w:left w:w="28" w:type="dxa"/>
              <w:bottom w:w="113" w:type="dxa"/>
              <w:right w:w="28" w:type="dxa"/>
            </w:tcMar>
          </w:tcPr>
          <w:p w14:paraId="46B9B758" w14:textId="004B9A7F" w:rsidR="004A7EDA" w:rsidRPr="004A7EDA" w:rsidRDefault="002841E9" w:rsidP="00991083">
            <w:pPr>
              <w:pStyle w:val="TableCopy"/>
              <w:rPr>
                <w:lang w:val="en-GB"/>
              </w:rPr>
            </w:pPr>
            <w:r>
              <w:rPr>
                <w:lang w:val="en-GB"/>
              </w:rPr>
              <w:t>*</w:t>
            </w:r>
          </w:p>
        </w:tc>
      </w:tr>
      <w:tr w:rsidR="004A7EDA" w:rsidRPr="004A7EDA" w14:paraId="6764035D" w14:textId="77777777" w:rsidTr="000143B1">
        <w:trPr>
          <w:trHeight w:val="113"/>
        </w:trPr>
        <w:tc>
          <w:tcPr>
            <w:tcW w:w="4479" w:type="dxa"/>
            <w:shd w:val="clear" w:color="auto" w:fill="auto"/>
            <w:tcMar>
              <w:top w:w="113" w:type="dxa"/>
              <w:left w:w="28" w:type="dxa"/>
              <w:bottom w:w="113" w:type="dxa"/>
              <w:right w:w="28" w:type="dxa"/>
            </w:tcMar>
          </w:tcPr>
          <w:p w14:paraId="7C0B6014" w14:textId="77777777" w:rsidR="004A7EDA" w:rsidRPr="004A7EDA" w:rsidRDefault="004A7EDA" w:rsidP="00991083">
            <w:pPr>
              <w:pStyle w:val="TableCopy"/>
              <w:rPr>
                <w:lang w:val="en-GB"/>
              </w:rPr>
            </w:pPr>
            <w:r w:rsidRPr="004A7EDA">
              <w:rPr>
                <w:lang w:val="en-GB"/>
              </w:rPr>
              <w:t>Proportion of business disputes resolved by the Victorian Small Business Commission prior to mediation</w:t>
            </w:r>
          </w:p>
        </w:tc>
        <w:tc>
          <w:tcPr>
            <w:tcW w:w="964" w:type="dxa"/>
            <w:shd w:val="clear" w:color="auto" w:fill="auto"/>
            <w:tcMar>
              <w:top w:w="113" w:type="dxa"/>
              <w:left w:w="28" w:type="dxa"/>
              <w:bottom w:w="113" w:type="dxa"/>
              <w:right w:w="28" w:type="dxa"/>
            </w:tcMar>
          </w:tcPr>
          <w:p w14:paraId="5B71D055"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38522A77" w14:textId="77777777" w:rsidR="004A7EDA" w:rsidRPr="004A7EDA" w:rsidRDefault="004A7EDA" w:rsidP="00991083">
            <w:pPr>
              <w:pStyle w:val="TableCopy"/>
              <w:rPr>
                <w:lang w:val="en-GB"/>
              </w:rPr>
            </w:pPr>
            <w:r w:rsidRPr="004A7EDA">
              <w:rPr>
                <w:lang w:val="en-GB"/>
              </w:rPr>
              <w:t>38.1</w:t>
            </w:r>
          </w:p>
        </w:tc>
        <w:tc>
          <w:tcPr>
            <w:tcW w:w="964" w:type="dxa"/>
            <w:shd w:val="clear" w:color="auto" w:fill="auto"/>
            <w:tcMar>
              <w:top w:w="113" w:type="dxa"/>
              <w:left w:w="28" w:type="dxa"/>
              <w:bottom w:w="113" w:type="dxa"/>
              <w:right w:w="28" w:type="dxa"/>
            </w:tcMar>
          </w:tcPr>
          <w:p w14:paraId="4333EC0D" w14:textId="77777777" w:rsidR="004A7EDA" w:rsidRPr="004A7EDA" w:rsidRDefault="004A7EDA" w:rsidP="00991083">
            <w:pPr>
              <w:pStyle w:val="TableCopy"/>
              <w:rPr>
                <w:lang w:val="en-GB"/>
              </w:rPr>
            </w:pPr>
            <w:r w:rsidRPr="004A7EDA">
              <w:rPr>
                <w:lang w:val="en-GB"/>
              </w:rPr>
              <w:t>30</w:t>
            </w:r>
          </w:p>
        </w:tc>
        <w:tc>
          <w:tcPr>
            <w:tcW w:w="1304" w:type="dxa"/>
            <w:shd w:val="clear" w:color="auto" w:fill="auto"/>
            <w:tcMar>
              <w:top w:w="113" w:type="dxa"/>
              <w:left w:w="28" w:type="dxa"/>
              <w:bottom w:w="113" w:type="dxa"/>
              <w:right w:w="28" w:type="dxa"/>
            </w:tcMar>
          </w:tcPr>
          <w:p w14:paraId="39F379E0" w14:textId="77777777" w:rsidR="004A7EDA" w:rsidRPr="004A7EDA" w:rsidRDefault="004A7EDA" w:rsidP="00991083">
            <w:pPr>
              <w:pStyle w:val="TableCopy"/>
              <w:rPr>
                <w:lang w:val="en-GB"/>
              </w:rPr>
            </w:pPr>
            <w:r w:rsidRPr="004A7EDA">
              <w:rPr>
                <w:lang w:val="en-GB"/>
              </w:rPr>
              <w:t>27.0%</w:t>
            </w:r>
          </w:p>
        </w:tc>
        <w:tc>
          <w:tcPr>
            <w:tcW w:w="964" w:type="dxa"/>
            <w:shd w:val="clear" w:color="auto" w:fill="auto"/>
            <w:tcMar>
              <w:top w:w="113" w:type="dxa"/>
              <w:left w:w="28" w:type="dxa"/>
              <w:bottom w:w="113" w:type="dxa"/>
              <w:right w:w="28" w:type="dxa"/>
            </w:tcMar>
          </w:tcPr>
          <w:p w14:paraId="4C976755" w14:textId="29D77078" w:rsidR="004A7EDA" w:rsidRPr="004A7EDA" w:rsidRDefault="002841E9" w:rsidP="00991083">
            <w:pPr>
              <w:pStyle w:val="TableCopy"/>
              <w:rPr>
                <w:lang w:val="en-GB"/>
              </w:rPr>
            </w:pPr>
            <w:r>
              <w:rPr>
                <w:lang w:val="en-GB"/>
              </w:rPr>
              <w:t>*</w:t>
            </w:r>
          </w:p>
        </w:tc>
      </w:tr>
      <w:tr w:rsidR="004A7EDA" w:rsidRPr="004A7EDA" w14:paraId="32F3D7F0" w14:textId="77777777" w:rsidTr="000143B1">
        <w:trPr>
          <w:trHeight w:val="113"/>
        </w:trPr>
        <w:tc>
          <w:tcPr>
            <w:tcW w:w="9638" w:type="dxa"/>
            <w:gridSpan w:val="6"/>
            <w:shd w:val="clear" w:color="auto" w:fill="auto"/>
            <w:tcMar>
              <w:top w:w="113" w:type="dxa"/>
              <w:left w:w="113" w:type="dxa"/>
              <w:bottom w:w="113" w:type="dxa"/>
              <w:right w:w="113" w:type="dxa"/>
            </w:tcMar>
          </w:tcPr>
          <w:p w14:paraId="02E1FEAD" w14:textId="77777777" w:rsidR="004A7EDA" w:rsidRPr="004A7EDA" w:rsidRDefault="004A7EDA" w:rsidP="00991083">
            <w:pPr>
              <w:pStyle w:val="TableCopy"/>
            </w:pPr>
            <w:r w:rsidRPr="004A7EDA">
              <w:t xml:space="preserve">Higher result due to increase in demand for dispute resolution services provided by the Victorian Small Business Commission. Many disputes involved claims for rent relief by tenants, landlords, </w:t>
            </w:r>
            <w:proofErr w:type="gramStart"/>
            <w:r w:rsidRPr="004A7EDA">
              <w:t>licensees</w:t>
            </w:r>
            <w:proofErr w:type="gramEnd"/>
            <w:r w:rsidRPr="004A7EDA">
              <w:t xml:space="preserve"> and licensors affected by the COVID-19 pandemic. Parties appeared motivated to settle “early” to avoid the matter escalating to a potentially </w:t>
            </w:r>
            <w:proofErr w:type="gramStart"/>
            <w:r w:rsidRPr="004A7EDA">
              <w:t>drawn out</w:t>
            </w:r>
            <w:proofErr w:type="gramEnd"/>
            <w:r w:rsidRPr="004A7EDA">
              <w:t xml:space="preserve"> tribunal/court process. Resolutions were facilitated by a bespoke team of Dispute Resolution Officers and the Commercial Tenancy Relief Scheme framework.</w:t>
            </w:r>
          </w:p>
        </w:tc>
      </w:tr>
      <w:tr w:rsidR="004A7EDA" w:rsidRPr="004A7EDA" w14:paraId="2A7D570A" w14:textId="77777777" w:rsidTr="000143B1">
        <w:trPr>
          <w:trHeight w:val="113"/>
        </w:trPr>
        <w:tc>
          <w:tcPr>
            <w:tcW w:w="9638" w:type="dxa"/>
            <w:gridSpan w:val="6"/>
            <w:shd w:val="clear" w:color="auto" w:fill="auto"/>
            <w:tcMar>
              <w:top w:w="113" w:type="dxa"/>
              <w:left w:w="28" w:type="dxa"/>
              <w:bottom w:w="113" w:type="dxa"/>
              <w:right w:w="28" w:type="dxa"/>
            </w:tcMar>
          </w:tcPr>
          <w:p w14:paraId="4FAFE8A8" w14:textId="77777777" w:rsidR="004A7EDA" w:rsidRPr="004A7EDA" w:rsidRDefault="004A7EDA" w:rsidP="00991083">
            <w:pPr>
              <w:pStyle w:val="TableCopy"/>
              <w:rPr>
                <w:lang w:val="en-GB"/>
              </w:rPr>
            </w:pPr>
            <w:r w:rsidRPr="004A7EDA">
              <w:rPr>
                <w:lang w:val="en-GB"/>
              </w:rPr>
              <w:t>Cost</w:t>
            </w:r>
          </w:p>
        </w:tc>
      </w:tr>
      <w:tr w:rsidR="004A7EDA" w:rsidRPr="004A7EDA" w14:paraId="1DBB1752" w14:textId="77777777" w:rsidTr="000143B1">
        <w:trPr>
          <w:trHeight w:val="113"/>
        </w:trPr>
        <w:tc>
          <w:tcPr>
            <w:tcW w:w="4479" w:type="dxa"/>
            <w:shd w:val="clear" w:color="auto" w:fill="auto"/>
            <w:tcMar>
              <w:top w:w="113" w:type="dxa"/>
              <w:left w:w="28" w:type="dxa"/>
              <w:bottom w:w="113" w:type="dxa"/>
              <w:right w:w="28" w:type="dxa"/>
            </w:tcMar>
          </w:tcPr>
          <w:p w14:paraId="2580E497" w14:textId="77777777" w:rsidR="004A7EDA" w:rsidRPr="004A7EDA" w:rsidRDefault="004A7EDA" w:rsidP="00991083">
            <w:pPr>
              <w:pStyle w:val="TableCopy"/>
              <w:rPr>
                <w:lang w:val="en-GB"/>
              </w:rPr>
            </w:pPr>
            <w:r w:rsidRPr="004A7EDA">
              <w:rPr>
                <w:lang w:val="en-GB"/>
              </w:rPr>
              <w:t>Total output cost</w:t>
            </w:r>
          </w:p>
        </w:tc>
        <w:tc>
          <w:tcPr>
            <w:tcW w:w="964" w:type="dxa"/>
            <w:shd w:val="clear" w:color="auto" w:fill="auto"/>
            <w:tcMar>
              <w:top w:w="113" w:type="dxa"/>
              <w:left w:w="28" w:type="dxa"/>
              <w:bottom w:w="113" w:type="dxa"/>
              <w:right w:w="28" w:type="dxa"/>
            </w:tcMar>
          </w:tcPr>
          <w:p w14:paraId="5CCE330B" w14:textId="77777777" w:rsidR="004A7EDA" w:rsidRPr="004A7EDA" w:rsidRDefault="004A7EDA" w:rsidP="0099108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6D89240E" w14:textId="77777777" w:rsidR="004A7EDA" w:rsidRPr="004A7EDA" w:rsidRDefault="004A7EDA" w:rsidP="00991083">
            <w:pPr>
              <w:pStyle w:val="TableCopy"/>
              <w:rPr>
                <w:lang w:val="en-GB"/>
              </w:rPr>
            </w:pPr>
            <w:r w:rsidRPr="004A7EDA">
              <w:rPr>
                <w:lang w:val="en-GB"/>
              </w:rPr>
              <w:t>995</w:t>
            </w:r>
          </w:p>
        </w:tc>
        <w:tc>
          <w:tcPr>
            <w:tcW w:w="964" w:type="dxa"/>
            <w:shd w:val="clear" w:color="auto" w:fill="auto"/>
            <w:tcMar>
              <w:top w:w="113" w:type="dxa"/>
              <w:left w:w="28" w:type="dxa"/>
              <w:bottom w:w="113" w:type="dxa"/>
              <w:right w:w="28" w:type="dxa"/>
            </w:tcMar>
          </w:tcPr>
          <w:p w14:paraId="41391EFA" w14:textId="77777777" w:rsidR="004A7EDA" w:rsidRPr="004A7EDA" w:rsidRDefault="004A7EDA" w:rsidP="00991083">
            <w:pPr>
              <w:pStyle w:val="TableCopy"/>
              <w:rPr>
                <w:lang w:val="en-GB"/>
              </w:rPr>
            </w:pPr>
            <w:r w:rsidRPr="004A7EDA">
              <w:rPr>
                <w:lang w:val="en-GB"/>
              </w:rPr>
              <w:t>409.4</w:t>
            </w:r>
          </w:p>
        </w:tc>
        <w:tc>
          <w:tcPr>
            <w:tcW w:w="1304" w:type="dxa"/>
            <w:shd w:val="clear" w:color="auto" w:fill="auto"/>
            <w:tcMar>
              <w:top w:w="113" w:type="dxa"/>
              <w:left w:w="28" w:type="dxa"/>
              <w:bottom w:w="113" w:type="dxa"/>
              <w:right w:w="28" w:type="dxa"/>
            </w:tcMar>
          </w:tcPr>
          <w:p w14:paraId="47663A41" w14:textId="77777777" w:rsidR="004A7EDA" w:rsidRPr="004A7EDA" w:rsidRDefault="004A7EDA" w:rsidP="00991083">
            <w:pPr>
              <w:pStyle w:val="TableCopy"/>
              <w:rPr>
                <w:lang w:val="en-GB"/>
              </w:rPr>
            </w:pPr>
            <w:r w:rsidRPr="004A7EDA">
              <w:rPr>
                <w:lang w:val="en-GB"/>
              </w:rPr>
              <w:t>143.0%</w:t>
            </w:r>
          </w:p>
        </w:tc>
        <w:tc>
          <w:tcPr>
            <w:tcW w:w="964" w:type="dxa"/>
            <w:shd w:val="clear" w:color="auto" w:fill="auto"/>
            <w:tcMar>
              <w:top w:w="113" w:type="dxa"/>
              <w:left w:w="28" w:type="dxa"/>
              <w:bottom w:w="113" w:type="dxa"/>
              <w:right w:w="28" w:type="dxa"/>
            </w:tcMar>
          </w:tcPr>
          <w:p w14:paraId="37D5BCDC" w14:textId="46A30520" w:rsidR="004A7EDA" w:rsidRPr="004A7EDA" w:rsidRDefault="002841E9" w:rsidP="00991083">
            <w:pPr>
              <w:pStyle w:val="TableCopy"/>
              <w:rPr>
                <w:lang w:val="en-GB"/>
              </w:rPr>
            </w:pPr>
            <w:r>
              <w:rPr>
                <w:lang w:val="en-GB"/>
              </w:rPr>
              <w:t>#</w:t>
            </w:r>
          </w:p>
        </w:tc>
      </w:tr>
      <w:tr w:rsidR="004A7EDA" w:rsidRPr="004A7EDA" w14:paraId="4A8D4F62" w14:textId="77777777" w:rsidTr="000143B1">
        <w:trPr>
          <w:trHeight w:val="113"/>
        </w:trPr>
        <w:tc>
          <w:tcPr>
            <w:tcW w:w="9638" w:type="dxa"/>
            <w:gridSpan w:val="6"/>
            <w:shd w:val="clear" w:color="auto" w:fill="auto"/>
            <w:tcMar>
              <w:top w:w="113" w:type="dxa"/>
              <w:left w:w="113" w:type="dxa"/>
              <w:bottom w:w="113" w:type="dxa"/>
              <w:right w:w="113" w:type="dxa"/>
            </w:tcMar>
          </w:tcPr>
          <w:p w14:paraId="2D7A5EA3" w14:textId="77777777" w:rsidR="004A7EDA" w:rsidRPr="004A7EDA" w:rsidRDefault="004A7EDA" w:rsidP="00991083">
            <w:pPr>
              <w:pStyle w:val="TableCopy"/>
            </w:pPr>
            <w:r w:rsidRPr="004A7EDA">
              <w:lastRenderedPageBreak/>
              <w:t>The 2020–21 result was higher than the 2020–21 budget mainly due to additional funding through the Circuit Breaker Support Package, release of central funding for the Victoria’s Digital Future Now initiative and the realignment of programs within the Business Support initiative from the Jobs output to the Industry, Innovation, Medical Research and Small Business output during 2020–21.</w:t>
            </w:r>
          </w:p>
        </w:tc>
      </w:tr>
      <w:tr w:rsidR="004A7EDA" w:rsidRPr="004A7EDA" w14:paraId="56E8B62A" w14:textId="77777777" w:rsidTr="000143B1">
        <w:trPr>
          <w:trHeight w:val="113"/>
        </w:trPr>
        <w:tc>
          <w:tcPr>
            <w:tcW w:w="9638" w:type="dxa"/>
            <w:gridSpan w:val="6"/>
            <w:shd w:val="clear" w:color="auto" w:fill="auto"/>
            <w:tcMar>
              <w:top w:w="113" w:type="dxa"/>
              <w:left w:w="28" w:type="dxa"/>
              <w:bottom w:w="113" w:type="dxa"/>
              <w:right w:w="28" w:type="dxa"/>
            </w:tcMar>
          </w:tcPr>
          <w:p w14:paraId="2A2B36F9" w14:textId="77777777" w:rsidR="004A7EDA" w:rsidRPr="004A7EDA" w:rsidRDefault="004A7EDA" w:rsidP="00991083">
            <w:pPr>
              <w:pStyle w:val="TableCopy"/>
              <w:rPr>
                <w:lang w:val="en-GB"/>
              </w:rPr>
            </w:pPr>
            <w:r w:rsidRPr="004A7EDA">
              <w:rPr>
                <w:lang w:val="en-GB"/>
              </w:rPr>
              <w:t>Medical Research</w:t>
            </w:r>
          </w:p>
        </w:tc>
      </w:tr>
      <w:tr w:rsidR="004A7EDA" w:rsidRPr="004A7EDA" w14:paraId="1C9DD302" w14:textId="77777777" w:rsidTr="000143B1">
        <w:trPr>
          <w:trHeight w:val="113"/>
        </w:trPr>
        <w:tc>
          <w:tcPr>
            <w:tcW w:w="9638" w:type="dxa"/>
            <w:gridSpan w:val="6"/>
            <w:shd w:val="clear" w:color="auto" w:fill="auto"/>
            <w:tcMar>
              <w:top w:w="113" w:type="dxa"/>
              <w:left w:w="28" w:type="dxa"/>
              <w:bottom w:w="113" w:type="dxa"/>
              <w:right w:w="28" w:type="dxa"/>
            </w:tcMar>
          </w:tcPr>
          <w:p w14:paraId="38A13C94" w14:textId="42344DFF" w:rsidR="004A7EDA" w:rsidRPr="004A7EDA" w:rsidRDefault="004A7EDA" w:rsidP="00991083">
            <w:pPr>
              <w:pStyle w:val="TableCopy"/>
              <w:rPr>
                <w:lang w:val="en-GB"/>
              </w:rPr>
            </w:pPr>
            <w:r w:rsidRPr="004A7EDA">
              <w:rPr>
                <w:lang w:val="en-GB"/>
              </w:rPr>
              <w:t>This sub-output supports maintaining Victoria’s position as a leader in health and medical research, while protecting</w:t>
            </w:r>
            <w:r w:rsidR="002841E9">
              <w:rPr>
                <w:lang w:val="en-GB"/>
              </w:rPr>
              <w:t xml:space="preserve"> </w:t>
            </w:r>
            <w:r w:rsidRPr="004A7EDA">
              <w:rPr>
                <w:lang w:val="en-GB"/>
              </w:rPr>
              <w:t>and growing jobs in the sector by funding visionary research through providing critical infrastructure to flagship projects and research institutes and strengthening commercialisation.</w:t>
            </w:r>
          </w:p>
        </w:tc>
      </w:tr>
      <w:tr w:rsidR="004A7EDA" w:rsidRPr="004A7EDA" w14:paraId="486AD173" w14:textId="77777777" w:rsidTr="000143B1">
        <w:trPr>
          <w:trHeight w:val="113"/>
        </w:trPr>
        <w:tc>
          <w:tcPr>
            <w:tcW w:w="9638" w:type="dxa"/>
            <w:gridSpan w:val="6"/>
            <w:shd w:val="clear" w:color="auto" w:fill="auto"/>
            <w:tcMar>
              <w:top w:w="113" w:type="dxa"/>
              <w:left w:w="28" w:type="dxa"/>
              <w:bottom w:w="113" w:type="dxa"/>
              <w:right w:w="28" w:type="dxa"/>
            </w:tcMar>
          </w:tcPr>
          <w:p w14:paraId="6DB4B403" w14:textId="77777777" w:rsidR="004A7EDA" w:rsidRPr="004A7EDA" w:rsidRDefault="004A7EDA" w:rsidP="00991083">
            <w:pPr>
              <w:pStyle w:val="TableCopy"/>
              <w:rPr>
                <w:lang w:val="en-GB"/>
              </w:rPr>
            </w:pPr>
            <w:r w:rsidRPr="004A7EDA">
              <w:rPr>
                <w:lang w:val="en-GB"/>
              </w:rPr>
              <w:t>Quantity</w:t>
            </w:r>
          </w:p>
        </w:tc>
      </w:tr>
      <w:tr w:rsidR="004A7EDA" w:rsidRPr="004A7EDA" w14:paraId="07F20BB7" w14:textId="77777777" w:rsidTr="000143B1">
        <w:trPr>
          <w:trHeight w:val="113"/>
        </w:trPr>
        <w:tc>
          <w:tcPr>
            <w:tcW w:w="4479" w:type="dxa"/>
            <w:shd w:val="clear" w:color="auto" w:fill="auto"/>
            <w:tcMar>
              <w:top w:w="113" w:type="dxa"/>
              <w:left w:w="28" w:type="dxa"/>
              <w:bottom w:w="113" w:type="dxa"/>
              <w:right w:w="28" w:type="dxa"/>
            </w:tcMar>
          </w:tcPr>
          <w:p w14:paraId="44F1F415" w14:textId="77777777" w:rsidR="004A7EDA" w:rsidRPr="004A7EDA" w:rsidRDefault="004A7EDA" w:rsidP="00991083">
            <w:pPr>
              <w:pStyle w:val="TableCopy"/>
              <w:rPr>
                <w:lang w:val="en-GB"/>
              </w:rPr>
            </w:pPr>
            <w:r w:rsidRPr="004A7EDA">
              <w:rPr>
                <w:lang w:val="en-GB"/>
              </w:rPr>
              <w:t>Operational infrastructure supports grants under management</w:t>
            </w:r>
          </w:p>
        </w:tc>
        <w:tc>
          <w:tcPr>
            <w:tcW w:w="964" w:type="dxa"/>
            <w:shd w:val="clear" w:color="auto" w:fill="auto"/>
            <w:tcMar>
              <w:top w:w="113" w:type="dxa"/>
              <w:left w:w="28" w:type="dxa"/>
              <w:bottom w:w="113" w:type="dxa"/>
              <w:right w:w="28" w:type="dxa"/>
            </w:tcMar>
          </w:tcPr>
          <w:p w14:paraId="112D922A"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1C4D0224" w14:textId="77777777" w:rsidR="004A7EDA" w:rsidRPr="004A7EDA" w:rsidRDefault="004A7EDA" w:rsidP="00991083">
            <w:pPr>
              <w:pStyle w:val="TableCopy"/>
              <w:rPr>
                <w:lang w:val="en-GB"/>
              </w:rPr>
            </w:pPr>
            <w:r w:rsidRPr="004A7EDA">
              <w:rPr>
                <w:lang w:val="en-GB"/>
              </w:rPr>
              <w:t>12</w:t>
            </w:r>
          </w:p>
        </w:tc>
        <w:tc>
          <w:tcPr>
            <w:tcW w:w="964" w:type="dxa"/>
            <w:shd w:val="clear" w:color="auto" w:fill="auto"/>
            <w:tcMar>
              <w:top w:w="113" w:type="dxa"/>
              <w:left w:w="28" w:type="dxa"/>
              <w:bottom w:w="113" w:type="dxa"/>
              <w:right w:w="28" w:type="dxa"/>
            </w:tcMar>
          </w:tcPr>
          <w:p w14:paraId="5157F159" w14:textId="77777777" w:rsidR="004A7EDA" w:rsidRPr="004A7EDA" w:rsidRDefault="004A7EDA" w:rsidP="00991083">
            <w:pPr>
              <w:pStyle w:val="TableCopy"/>
              <w:rPr>
                <w:lang w:val="en-GB"/>
              </w:rPr>
            </w:pPr>
            <w:r w:rsidRPr="004A7EDA">
              <w:rPr>
                <w:lang w:val="en-GB"/>
              </w:rPr>
              <w:t>12</w:t>
            </w:r>
          </w:p>
        </w:tc>
        <w:tc>
          <w:tcPr>
            <w:tcW w:w="1304" w:type="dxa"/>
            <w:shd w:val="clear" w:color="auto" w:fill="auto"/>
            <w:tcMar>
              <w:top w:w="113" w:type="dxa"/>
              <w:left w:w="28" w:type="dxa"/>
              <w:bottom w:w="113" w:type="dxa"/>
              <w:right w:w="28" w:type="dxa"/>
            </w:tcMar>
          </w:tcPr>
          <w:p w14:paraId="35D2CE1B" w14:textId="77777777" w:rsidR="004A7EDA" w:rsidRPr="004A7EDA" w:rsidRDefault="004A7EDA" w:rsidP="0099108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7339B56D" w14:textId="057CAF98" w:rsidR="004A7EDA" w:rsidRPr="004A7EDA" w:rsidRDefault="002841E9" w:rsidP="00991083">
            <w:pPr>
              <w:pStyle w:val="TableCopy"/>
              <w:rPr>
                <w:lang w:val="en-GB"/>
              </w:rPr>
            </w:pPr>
            <w:r>
              <w:rPr>
                <w:lang w:val="en-GB"/>
              </w:rPr>
              <w:t>*</w:t>
            </w:r>
          </w:p>
        </w:tc>
      </w:tr>
      <w:tr w:rsidR="004A7EDA" w:rsidRPr="004A7EDA" w14:paraId="10FE74E3" w14:textId="77777777" w:rsidTr="000143B1">
        <w:trPr>
          <w:trHeight w:val="113"/>
        </w:trPr>
        <w:tc>
          <w:tcPr>
            <w:tcW w:w="9638" w:type="dxa"/>
            <w:gridSpan w:val="6"/>
            <w:shd w:val="clear" w:color="auto" w:fill="auto"/>
            <w:tcMar>
              <w:top w:w="113" w:type="dxa"/>
              <w:left w:w="28" w:type="dxa"/>
              <w:bottom w:w="113" w:type="dxa"/>
              <w:right w:w="28" w:type="dxa"/>
            </w:tcMar>
          </w:tcPr>
          <w:p w14:paraId="6BB81B5B" w14:textId="77777777" w:rsidR="004A7EDA" w:rsidRPr="004A7EDA" w:rsidRDefault="004A7EDA" w:rsidP="00991083">
            <w:pPr>
              <w:pStyle w:val="TableCopy"/>
              <w:rPr>
                <w:lang w:val="en-GB"/>
              </w:rPr>
            </w:pPr>
            <w:r w:rsidRPr="004A7EDA">
              <w:rPr>
                <w:lang w:val="en-GB"/>
              </w:rPr>
              <w:t>Cost</w:t>
            </w:r>
          </w:p>
        </w:tc>
      </w:tr>
      <w:tr w:rsidR="004A7EDA" w:rsidRPr="004A7EDA" w14:paraId="59E06A05" w14:textId="77777777" w:rsidTr="000143B1">
        <w:trPr>
          <w:trHeight w:val="113"/>
        </w:trPr>
        <w:tc>
          <w:tcPr>
            <w:tcW w:w="4479" w:type="dxa"/>
            <w:shd w:val="clear" w:color="auto" w:fill="auto"/>
            <w:tcMar>
              <w:top w:w="113" w:type="dxa"/>
              <w:left w:w="28" w:type="dxa"/>
              <w:bottom w:w="113" w:type="dxa"/>
              <w:right w:w="28" w:type="dxa"/>
            </w:tcMar>
          </w:tcPr>
          <w:p w14:paraId="0CD6E1A3" w14:textId="77777777" w:rsidR="004A7EDA" w:rsidRPr="004A7EDA" w:rsidRDefault="004A7EDA" w:rsidP="00991083">
            <w:pPr>
              <w:pStyle w:val="TableCopy"/>
              <w:rPr>
                <w:lang w:val="en-GB"/>
              </w:rPr>
            </w:pPr>
            <w:r w:rsidRPr="004A7EDA">
              <w:rPr>
                <w:lang w:val="en-GB"/>
              </w:rPr>
              <w:t>Total output cost</w:t>
            </w:r>
          </w:p>
        </w:tc>
        <w:tc>
          <w:tcPr>
            <w:tcW w:w="964" w:type="dxa"/>
            <w:shd w:val="clear" w:color="auto" w:fill="auto"/>
            <w:tcMar>
              <w:top w:w="113" w:type="dxa"/>
              <w:left w:w="28" w:type="dxa"/>
              <w:bottom w:w="113" w:type="dxa"/>
              <w:right w:w="28" w:type="dxa"/>
            </w:tcMar>
          </w:tcPr>
          <w:p w14:paraId="2A9AF465" w14:textId="77777777" w:rsidR="004A7EDA" w:rsidRPr="004A7EDA" w:rsidRDefault="004A7EDA" w:rsidP="0099108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159E99CA" w14:textId="77777777" w:rsidR="004A7EDA" w:rsidRPr="004A7EDA" w:rsidRDefault="004A7EDA" w:rsidP="00991083">
            <w:pPr>
              <w:pStyle w:val="TableCopy"/>
              <w:rPr>
                <w:lang w:val="en-GB"/>
              </w:rPr>
            </w:pPr>
            <w:r w:rsidRPr="004A7EDA">
              <w:rPr>
                <w:lang w:val="en-GB"/>
              </w:rPr>
              <w:t>109.2</w:t>
            </w:r>
          </w:p>
        </w:tc>
        <w:tc>
          <w:tcPr>
            <w:tcW w:w="964" w:type="dxa"/>
            <w:shd w:val="clear" w:color="auto" w:fill="auto"/>
            <w:tcMar>
              <w:top w:w="113" w:type="dxa"/>
              <w:left w:w="28" w:type="dxa"/>
              <w:bottom w:w="113" w:type="dxa"/>
              <w:right w:w="28" w:type="dxa"/>
            </w:tcMar>
          </w:tcPr>
          <w:p w14:paraId="007E9EB9" w14:textId="77777777" w:rsidR="004A7EDA" w:rsidRPr="004A7EDA" w:rsidRDefault="004A7EDA" w:rsidP="00991083">
            <w:pPr>
              <w:pStyle w:val="TableCopy"/>
              <w:rPr>
                <w:lang w:val="en-GB"/>
              </w:rPr>
            </w:pPr>
            <w:r w:rsidRPr="004A7EDA">
              <w:rPr>
                <w:lang w:val="en-GB"/>
              </w:rPr>
              <w:t>98.4</w:t>
            </w:r>
          </w:p>
        </w:tc>
        <w:tc>
          <w:tcPr>
            <w:tcW w:w="1304" w:type="dxa"/>
            <w:shd w:val="clear" w:color="auto" w:fill="auto"/>
            <w:tcMar>
              <w:top w:w="113" w:type="dxa"/>
              <w:left w:w="28" w:type="dxa"/>
              <w:bottom w:w="113" w:type="dxa"/>
              <w:right w:w="28" w:type="dxa"/>
            </w:tcMar>
          </w:tcPr>
          <w:p w14:paraId="149BC580" w14:textId="77777777" w:rsidR="004A7EDA" w:rsidRPr="004A7EDA" w:rsidRDefault="004A7EDA" w:rsidP="00991083">
            <w:pPr>
              <w:pStyle w:val="TableCopy"/>
              <w:rPr>
                <w:lang w:val="en-GB"/>
              </w:rPr>
            </w:pPr>
            <w:r w:rsidRPr="004A7EDA">
              <w:rPr>
                <w:lang w:val="en-GB"/>
              </w:rPr>
              <w:t>11.0%</w:t>
            </w:r>
          </w:p>
        </w:tc>
        <w:tc>
          <w:tcPr>
            <w:tcW w:w="964" w:type="dxa"/>
            <w:shd w:val="clear" w:color="auto" w:fill="auto"/>
            <w:tcMar>
              <w:top w:w="113" w:type="dxa"/>
              <w:left w:w="28" w:type="dxa"/>
              <w:bottom w:w="113" w:type="dxa"/>
              <w:right w:w="28" w:type="dxa"/>
            </w:tcMar>
          </w:tcPr>
          <w:p w14:paraId="36F46C02" w14:textId="397F3ECD" w:rsidR="004A7EDA" w:rsidRPr="004A7EDA" w:rsidRDefault="002841E9" w:rsidP="00991083">
            <w:pPr>
              <w:pStyle w:val="TableCopy"/>
              <w:rPr>
                <w:lang w:val="en-GB"/>
              </w:rPr>
            </w:pPr>
            <w:r>
              <w:rPr>
                <w:lang w:val="en-GB"/>
              </w:rPr>
              <w:t>#</w:t>
            </w:r>
          </w:p>
        </w:tc>
      </w:tr>
      <w:tr w:rsidR="004A7EDA" w:rsidRPr="004A7EDA" w14:paraId="4B5595C7" w14:textId="77777777" w:rsidTr="000143B1">
        <w:trPr>
          <w:trHeight w:val="113"/>
        </w:trPr>
        <w:tc>
          <w:tcPr>
            <w:tcW w:w="9638" w:type="dxa"/>
            <w:gridSpan w:val="6"/>
            <w:shd w:val="clear" w:color="auto" w:fill="auto"/>
            <w:tcMar>
              <w:top w:w="113" w:type="dxa"/>
              <w:left w:w="113" w:type="dxa"/>
              <w:bottom w:w="113" w:type="dxa"/>
              <w:right w:w="113" w:type="dxa"/>
            </w:tcMar>
          </w:tcPr>
          <w:p w14:paraId="11502985" w14:textId="77777777" w:rsidR="004A7EDA" w:rsidRPr="004A7EDA" w:rsidRDefault="004A7EDA" w:rsidP="00991083">
            <w:pPr>
              <w:pStyle w:val="TableCopy"/>
            </w:pPr>
            <w:r w:rsidRPr="004A7EDA">
              <w:t>The 2020–21 result was higher than the 2020–21 budget mainly due to the transfer of responsibilities for the Melbourne Genomics Health Alliance and Respiratory challenge trials into the output and additional funding for the Supporting Medical Research to Protect Victorians and Grow Jobs for the Future initiative.</w:t>
            </w:r>
          </w:p>
        </w:tc>
      </w:tr>
    </w:tbl>
    <w:p w14:paraId="741E994F" w14:textId="54EC65E8" w:rsidR="00991083" w:rsidRDefault="00991083" w:rsidP="00991083">
      <w:pPr>
        <w:pStyle w:val="TableCopy"/>
        <w:rPr>
          <w:lang w:val="en-GB"/>
        </w:rPr>
      </w:pPr>
      <w:bookmarkStart w:id="9" w:name="_Toc87011070"/>
      <w:r w:rsidRPr="004A7EDA">
        <w:t>Note:</w:t>
      </w:r>
      <w:r w:rsidRPr="004A7EDA">
        <w:t> </w:t>
      </w:r>
      <w:r w:rsidRPr="004A7EDA">
        <w:br/>
      </w:r>
      <w:r>
        <w:t>*</w:t>
      </w:r>
      <w:r w:rsidRPr="004A7EDA">
        <w:t xml:space="preserve"> Performance target achieved or exceeded</w:t>
      </w:r>
      <w:r w:rsidRPr="004A7EDA">
        <w:br/>
      </w:r>
      <w:r>
        <w:t>–</w:t>
      </w:r>
      <w:r w:rsidRPr="004A7EDA">
        <w:t xml:space="preserve"> Performance target not achieved – within 5 per cent variance</w:t>
      </w:r>
      <w:r w:rsidRPr="004A7EDA">
        <w:br/>
      </w:r>
      <w:r>
        <w:t>#</w:t>
      </w:r>
      <w:r w:rsidRPr="004A7EDA">
        <w:t xml:space="preserve"> Performance target not achieved – exceeds 5 per cent variance</w:t>
      </w:r>
    </w:p>
    <w:p w14:paraId="2365183A" w14:textId="6D370DF0" w:rsidR="004A7EDA" w:rsidRPr="004A7EDA" w:rsidRDefault="004A7EDA" w:rsidP="00286AE3">
      <w:pPr>
        <w:pStyle w:val="Heading1"/>
        <w:rPr>
          <w:lang w:val="en-GB"/>
        </w:rPr>
      </w:pPr>
      <w:r w:rsidRPr="004A7EDA">
        <w:rPr>
          <w:lang w:val="en-GB"/>
        </w:rPr>
        <w:t xml:space="preserve">Objective 3: Be a globally connected </w:t>
      </w:r>
      <w:r w:rsidRPr="00286AE3">
        <w:t>economy</w:t>
      </w:r>
      <w:bookmarkEnd w:id="9"/>
    </w:p>
    <w:p w14:paraId="7951B96B" w14:textId="163D7F95" w:rsidR="004A7EDA" w:rsidRPr="004A7EDA" w:rsidRDefault="004A7EDA" w:rsidP="004A7EDA">
      <w:pPr>
        <w:rPr>
          <w:lang w:val="en-GB"/>
        </w:rPr>
      </w:pPr>
      <w:r w:rsidRPr="004A7EDA">
        <w:rPr>
          <w:lang w:val="en-GB"/>
        </w:rPr>
        <w:t>This objective seeks to connect Victoria to the world by helping Victorian businesses successfully trade into global markets, and growing Victoria’s proportion of international student enrolments</w:t>
      </w:r>
      <w:r w:rsidR="00113763">
        <w:rPr>
          <w:lang w:val="en-GB"/>
        </w:rPr>
        <w:t xml:space="preserve"> </w:t>
      </w:r>
      <w:r w:rsidRPr="004A7EDA">
        <w:rPr>
          <w:lang w:val="en-GB"/>
        </w:rPr>
        <w:t>in Australia.</w:t>
      </w:r>
    </w:p>
    <w:p w14:paraId="4F432D97" w14:textId="46BFBBD1" w:rsidR="004A7EDA" w:rsidRPr="004A7EDA" w:rsidRDefault="004A7EDA" w:rsidP="00113763">
      <w:pPr>
        <w:pStyle w:val="Heading3"/>
        <w:rPr>
          <w:lang w:val="en-GB"/>
        </w:rPr>
      </w:pPr>
      <w:bookmarkStart w:id="10" w:name="_Toc87011071"/>
      <w:r w:rsidRPr="004A7EDA">
        <w:rPr>
          <w:lang w:val="en-GB"/>
        </w:rPr>
        <w:t>Progress towards achieving</w:t>
      </w:r>
      <w:r w:rsidR="00113763">
        <w:rPr>
          <w:lang w:val="en-GB"/>
        </w:rPr>
        <w:t xml:space="preserve"> </w:t>
      </w:r>
      <w:r w:rsidRPr="004A7EDA">
        <w:rPr>
          <w:lang w:val="en-GB"/>
        </w:rPr>
        <w:t>this objective</w:t>
      </w:r>
      <w:bookmarkEnd w:id="10"/>
    </w:p>
    <w:p w14:paraId="5F38CD19" w14:textId="77777777" w:rsidR="004A7EDA" w:rsidRPr="004A7EDA" w:rsidRDefault="004A7EDA" w:rsidP="004A7EDA">
      <w:pPr>
        <w:rPr>
          <w:lang w:val="en-GB"/>
        </w:rPr>
      </w:pPr>
      <w:r w:rsidRPr="004A7EDA">
        <w:rPr>
          <w:lang w:val="en-GB"/>
        </w:rPr>
        <w:t>In 2020–21, the department reported progress against this objective using the following objective indicators and outputs:</w:t>
      </w:r>
    </w:p>
    <w:p w14:paraId="212130B8" w14:textId="77777777" w:rsidR="004A7EDA" w:rsidRPr="004A7EDA" w:rsidRDefault="004A7EDA" w:rsidP="00113763">
      <w:pPr>
        <w:pStyle w:val="Heading4"/>
        <w:rPr>
          <w:lang w:val="en-GB"/>
        </w:rPr>
      </w:pPr>
      <w:r w:rsidRPr="004A7EDA">
        <w:rPr>
          <w:lang w:val="en-GB"/>
        </w:rPr>
        <w:t>Objective Indicators</w:t>
      </w:r>
    </w:p>
    <w:p w14:paraId="1156C742" w14:textId="77777777" w:rsidR="004A7EDA" w:rsidRPr="004A7EDA" w:rsidRDefault="004A7EDA" w:rsidP="00113763">
      <w:pPr>
        <w:pStyle w:val="Bullet"/>
        <w:rPr>
          <w:lang w:val="en-GB"/>
        </w:rPr>
      </w:pPr>
      <w:r w:rsidRPr="004A7EDA">
        <w:rPr>
          <w:lang w:val="en-GB"/>
        </w:rPr>
        <w:t>Export sales generated from government programs</w:t>
      </w:r>
    </w:p>
    <w:p w14:paraId="4926DC3C" w14:textId="77777777" w:rsidR="004A7EDA" w:rsidRPr="004A7EDA" w:rsidRDefault="004A7EDA" w:rsidP="00113763">
      <w:pPr>
        <w:pStyle w:val="Bullet"/>
        <w:rPr>
          <w:lang w:val="en-GB"/>
        </w:rPr>
      </w:pPr>
      <w:r w:rsidRPr="004A7EDA">
        <w:rPr>
          <w:lang w:val="en-GB"/>
        </w:rPr>
        <w:t>Victoria’s share of international student enrolments.</w:t>
      </w:r>
    </w:p>
    <w:p w14:paraId="72DBB88B" w14:textId="77777777" w:rsidR="004A7EDA" w:rsidRPr="004A7EDA" w:rsidRDefault="004A7EDA" w:rsidP="00113763">
      <w:pPr>
        <w:pStyle w:val="Heading3"/>
        <w:rPr>
          <w:lang w:val="en-GB"/>
        </w:rPr>
      </w:pPr>
      <w:bookmarkStart w:id="11" w:name="_Toc87011072"/>
      <w:r w:rsidRPr="004A7EDA">
        <w:rPr>
          <w:lang w:val="en-GB"/>
        </w:rPr>
        <w:t>Outputs</w:t>
      </w:r>
      <w:bookmarkEnd w:id="11"/>
    </w:p>
    <w:p w14:paraId="7243A906" w14:textId="77777777" w:rsidR="004A7EDA" w:rsidRPr="004A7EDA" w:rsidRDefault="004A7EDA" w:rsidP="00113763">
      <w:pPr>
        <w:pStyle w:val="Bullet"/>
        <w:rPr>
          <w:lang w:val="en-GB"/>
        </w:rPr>
      </w:pPr>
      <w:r w:rsidRPr="004A7EDA">
        <w:rPr>
          <w:lang w:val="en-GB"/>
        </w:rPr>
        <w:t>Trade and Global Engagement</w:t>
      </w:r>
    </w:p>
    <w:p w14:paraId="408FC797" w14:textId="55EFF755" w:rsidR="004A7EDA" w:rsidRPr="0042727B" w:rsidRDefault="004A7EDA" w:rsidP="0042727B">
      <w:pPr>
        <w:pStyle w:val="Heading4"/>
        <w:rPr>
          <w:lang w:val="en-GB"/>
        </w:rPr>
      </w:pPr>
      <w:r w:rsidRPr="004A7EDA">
        <w:rPr>
          <w:lang w:val="en-GB"/>
        </w:rPr>
        <w:t>Indicator: Export sales generated from government programs</w:t>
      </w:r>
    </w:p>
    <w:p w14:paraId="66E8CCD0" w14:textId="77777777" w:rsidR="004A7EDA" w:rsidRPr="004A7EDA" w:rsidRDefault="004A7EDA" w:rsidP="00113763">
      <w:pPr>
        <w:pStyle w:val="Heading5"/>
        <w:rPr>
          <w:lang w:val="en-GB"/>
        </w:rPr>
      </w:pPr>
      <w:r w:rsidRPr="004A7EDA">
        <w:rPr>
          <w:lang w:val="en-GB"/>
        </w:rPr>
        <w:t xml:space="preserve">Table 6: Export sales generated from government </w:t>
      </w:r>
      <w:r w:rsidRPr="00113763">
        <w:t>programs</w:t>
      </w:r>
    </w:p>
    <w:tbl>
      <w:tblPr>
        <w:tblW w:w="0" w:type="auto"/>
        <w:tblInd w:w="28" w:type="dxa"/>
        <w:tblLayout w:type="fixed"/>
        <w:tblCellMar>
          <w:left w:w="0" w:type="dxa"/>
          <w:right w:w="0" w:type="dxa"/>
        </w:tblCellMar>
        <w:tblLook w:val="0000" w:firstRow="0" w:lastRow="0" w:firstColumn="0" w:lastColumn="0" w:noHBand="0" w:noVBand="0"/>
      </w:tblPr>
      <w:tblGrid>
        <w:gridCol w:w="4195"/>
        <w:gridCol w:w="1356"/>
        <w:gridCol w:w="1356"/>
        <w:gridCol w:w="1355"/>
        <w:gridCol w:w="1356"/>
      </w:tblGrid>
      <w:tr w:rsidR="004A7EDA" w:rsidRPr="004A7EDA" w14:paraId="135C454E"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C06230E" w14:textId="77777777" w:rsidR="004A7EDA" w:rsidRPr="004A7EDA" w:rsidRDefault="004A7EDA" w:rsidP="001D1E89">
            <w:pPr>
              <w:pStyle w:val="TableHeading"/>
              <w:rPr>
                <w:lang w:val="en-GB"/>
              </w:rPr>
            </w:pPr>
            <w:r w:rsidRPr="004A7EDA">
              <w:rPr>
                <w:lang w:val="en-GB"/>
              </w:rPr>
              <w:t>Measure (unit of measure)</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27B7B3E" w14:textId="77777777" w:rsidR="004A7EDA" w:rsidRPr="004A7EDA" w:rsidRDefault="004A7EDA" w:rsidP="00C34B9B">
            <w:pPr>
              <w:pStyle w:val="TableHeading"/>
              <w:jc w:val="right"/>
              <w:rPr>
                <w:lang w:val="en-GB"/>
              </w:rPr>
            </w:pPr>
            <w:r w:rsidRPr="004A7EDA">
              <w:rPr>
                <w:lang w:val="en-GB"/>
              </w:rPr>
              <w:t>2017–18</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633EB57" w14:textId="77777777" w:rsidR="004A7EDA" w:rsidRPr="004A7EDA" w:rsidRDefault="004A7EDA" w:rsidP="00C34B9B">
            <w:pPr>
              <w:pStyle w:val="TableHeading"/>
              <w:jc w:val="right"/>
              <w:rPr>
                <w:lang w:val="en-GB"/>
              </w:rPr>
            </w:pPr>
            <w:r w:rsidRPr="004A7EDA">
              <w:rPr>
                <w:lang w:val="en-GB"/>
              </w:rPr>
              <w:t>2018–19</w:t>
            </w:r>
          </w:p>
        </w:tc>
        <w:tc>
          <w:tcPr>
            <w:tcW w:w="135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0D83F14" w14:textId="77777777" w:rsidR="004A7EDA" w:rsidRPr="004A7EDA" w:rsidRDefault="004A7EDA" w:rsidP="00C34B9B">
            <w:pPr>
              <w:pStyle w:val="TableHeading"/>
              <w:jc w:val="right"/>
              <w:rPr>
                <w:lang w:val="en-GB"/>
              </w:rPr>
            </w:pPr>
            <w:r w:rsidRPr="004A7EDA">
              <w:rPr>
                <w:lang w:val="en-GB"/>
              </w:rPr>
              <w:t>2019–20</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2F886E9" w14:textId="77777777" w:rsidR="004A7EDA" w:rsidRPr="004A7EDA" w:rsidRDefault="004A7EDA" w:rsidP="00C34B9B">
            <w:pPr>
              <w:pStyle w:val="TableHeading"/>
              <w:jc w:val="right"/>
              <w:rPr>
                <w:lang w:val="en-GB"/>
              </w:rPr>
            </w:pPr>
            <w:r w:rsidRPr="004A7EDA">
              <w:rPr>
                <w:lang w:val="en-GB"/>
              </w:rPr>
              <w:t>2020–21</w:t>
            </w:r>
          </w:p>
        </w:tc>
      </w:tr>
      <w:tr w:rsidR="004A7EDA" w:rsidRPr="001D1E89" w14:paraId="4582390C"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5DB8A33" w14:textId="20DA36E9" w:rsidR="004A7EDA" w:rsidRPr="001D1E89" w:rsidRDefault="004A7EDA" w:rsidP="001D1E89">
            <w:pPr>
              <w:pStyle w:val="TableCopy"/>
            </w:pPr>
            <w:r w:rsidRPr="001D1E89">
              <w:t xml:space="preserve">Actual export sales generated </w:t>
            </w:r>
            <w:proofErr w:type="gramStart"/>
            <w:r w:rsidRPr="001D1E89">
              <w:t>as a result</w:t>
            </w:r>
            <w:r w:rsidR="00113763" w:rsidRPr="001D1E89">
              <w:t xml:space="preserve"> </w:t>
            </w:r>
            <w:r w:rsidRPr="001D1E89">
              <w:t>of</w:t>
            </w:r>
            <w:proofErr w:type="gramEnd"/>
            <w:r w:rsidRPr="001D1E89">
              <w:t xml:space="preserve"> participation in government programs</w:t>
            </w:r>
            <w:r w:rsidR="00113763" w:rsidRPr="001D1E89">
              <w:t xml:space="preserve"> </w:t>
            </w:r>
            <w:r w:rsidRPr="001D1E89">
              <w:t>($ million)</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251B54F" w14:textId="77777777" w:rsidR="004A7EDA" w:rsidRPr="001D1E89" w:rsidRDefault="004A7EDA" w:rsidP="00C34B9B">
            <w:pPr>
              <w:pStyle w:val="TableCopy"/>
              <w:jc w:val="right"/>
            </w:pPr>
            <w:r w:rsidRPr="001D1E89">
              <w:t>807</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3A573B5" w14:textId="77777777" w:rsidR="004A7EDA" w:rsidRPr="001D1E89" w:rsidRDefault="004A7EDA" w:rsidP="00C34B9B">
            <w:pPr>
              <w:pStyle w:val="TableCopy"/>
              <w:jc w:val="right"/>
            </w:pPr>
            <w:r w:rsidRPr="001D1E89">
              <w:t>668</w:t>
            </w:r>
          </w:p>
        </w:tc>
        <w:tc>
          <w:tcPr>
            <w:tcW w:w="135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D54E90E" w14:textId="77777777" w:rsidR="004A7EDA" w:rsidRPr="001D1E89" w:rsidRDefault="004A7EDA" w:rsidP="00C34B9B">
            <w:pPr>
              <w:pStyle w:val="TableCopy"/>
              <w:jc w:val="right"/>
            </w:pPr>
            <w:r w:rsidRPr="001D1E89">
              <w:t>709</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D7D9322" w14:textId="77777777" w:rsidR="004A7EDA" w:rsidRPr="001D1E89" w:rsidRDefault="004A7EDA" w:rsidP="00C34B9B">
            <w:pPr>
              <w:pStyle w:val="TableCopy"/>
              <w:jc w:val="right"/>
            </w:pPr>
            <w:r w:rsidRPr="001D1E89">
              <w:t>569</w:t>
            </w:r>
          </w:p>
        </w:tc>
      </w:tr>
    </w:tbl>
    <w:p w14:paraId="59954E40" w14:textId="77777777" w:rsidR="004A7EDA" w:rsidRPr="004A7EDA" w:rsidRDefault="004A7EDA" w:rsidP="00113763">
      <w:pPr>
        <w:pStyle w:val="Heading5"/>
        <w:rPr>
          <w:lang w:val="en-GB"/>
        </w:rPr>
      </w:pPr>
      <w:r w:rsidRPr="004A7EDA">
        <w:rPr>
          <w:lang w:val="en-GB"/>
        </w:rPr>
        <w:t>Figure 4: Export sales generated from government programs</w:t>
      </w:r>
    </w:p>
    <w:p w14:paraId="4FE7DA92" w14:textId="32DA03B2" w:rsidR="004A7EDA" w:rsidRPr="004A7EDA" w:rsidRDefault="00113763" w:rsidP="004A7EDA">
      <w:pPr>
        <w:rPr>
          <w:lang w:val="en-GB"/>
        </w:rPr>
      </w:pPr>
      <w:r>
        <w:rPr>
          <w:noProof/>
          <w:lang w:val="en-GB"/>
        </w:rPr>
        <w:lastRenderedPageBreak/>
        <w:drawing>
          <wp:inline distT="0" distB="0" distL="0" distR="0" wp14:anchorId="70CC891F" wp14:editId="7B8BC846">
            <wp:extent cx="2894330" cy="1813732"/>
            <wp:effectExtent l="0" t="0" r="0" b="0"/>
            <wp:docPr id="4" name="Picture 4" descr="Chart&#10;&#10;Export sales generated from government programs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Export sales generated from government programs 2017-2021"/>
                    <pic:cNvPicPr/>
                  </pic:nvPicPr>
                  <pic:blipFill rotWithShape="1">
                    <a:blip r:embed="rId14"/>
                    <a:srcRect t="3539" b="23935"/>
                    <a:stretch/>
                  </pic:blipFill>
                  <pic:spPr bwMode="auto">
                    <a:xfrm>
                      <a:off x="0" y="0"/>
                      <a:ext cx="2895600" cy="1814528"/>
                    </a:xfrm>
                    <a:prstGeom prst="rect">
                      <a:avLst/>
                    </a:prstGeom>
                    <a:ln>
                      <a:noFill/>
                    </a:ln>
                    <a:extLst>
                      <a:ext uri="{53640926-AAD7-44D8-BBD7-CCE9431645EC}">
                        <a14:shadowObscured xmlns:a14="http://schemas.microsoft.com/office/drawing/2010/main"/>
                      </a:ext>
                    </a:extLst>
                  </pic:spPr>
                </pic:pic>
              </a:graphicData>
            </a:graphic>
          </wp:inline>
        </w:drawing>
      </w:r>
    </w:p>
    <w:p w14:paraId="7EB48BC4" w14:textId="7ADB1A1F" w:rsidR="004A7EDA" w:rsidRPr="004A7EDA" w:rsidRDefault="004A7EDA" w:rsidP="004A7EDA">
      <w:pPr>
        <w:rPr>
          <w:lang w:val="en-GB"/>
        </w:rPr>
      </w:pPr>
      <w:r w:rsidRPr="004A7EDA">
        <w:rPr>
          <w:lang w:val="en-GB"/>
        </w:rPr>
        <w:t>Victorian Government programs resulted in $3.8 billion of actual export sales over the six-year period from 2015–16 to 2020–21. In 2020–21 the department supported $569 million of actual</w:t>
      </w:r>
      <w:r w:rsidR="00113763">
        <w:rPr>
          <w:lang w:val="en-GB"/>
        </w:rPr>
        <w:t xml:space="preserve"> </w:t>
      </w:r>
      <w:r w:rsidRPr="004A7EDA">
        <w:rPr>
          <w:lang w:val="en-GB"/>
        </w:rPr>
        <w:t>export sales. This result was driven by a refreshed and updated suite of programs delivered to support Victorian companies to remain engaged and connected to overseas markets and international business opportunities whilst border restrictions were in place and physical travel was limited.</w:t>
      </w:r>
      <w:r w:rsidRPr="004A7EDA">
        <w:rPr>
          <w:lang w:val="en-GB"/>
        </w:rPr>
        <w:br/>
        <w:t>The suite of initiatives also focused on supporting the development of core export capabilities</w:t>
      </w:r>
      <w:r w:rsidR="00113763">
        <w:rPr>
          <w:lang w:val="en-GB"/>
        </w:rPr>
        <w:t xml:space="preserve"> </w:t>
      </w:r>
      <w:r w:rsidRPr="004A7EDA">
        <w:rPr>
          <w:lang w:val="en-GB"/>
        </w:rPr>
        <w:t>to ensure businesses were appropriately skilled</w:t>
      </w:r>
      <w:r w:rsidR="00113763">
        <w:rPr>
          <w:lang w:val="en-GB"/>
        </w:rPr>
        <w:t xml:space="preserve"> </w:t>
      </w:r>
      <w:r w:rsidRPr="004A7EDA">
        <w:rPr>
          <w:lang w:val="en-GB"/>
        </w:rPr>
        <w:t>to continue undertaking international business</w:t>
      </w:r>
      <w:r w:rsidR="00113763">
        <w:rPr>
          <w:lang w:val="en-GB"/>
        </w:rPr>
        <w:t xml:space="preserve"> </w:t>
      </w:r>
      <w:r w:rsidRPr="004A7EDA">
        <w:rPr>
          <w:lang w:val="en-GB"/>
        </w:rPr>
        <w:t>in a constrained operating environment.</w:t>
      </w:r>
    </w:p>
    <w:p w14:paraId="496075E7" w14:textId="77777777" w:rsidR="00113763" w:rsidRDefault="004A7EDA" w:rsidP="004A7EDA">
      <w:pPr>
        <w:rPr>
          <w:lang w:val="en-GB"/>
        </w:rPr>
      </w:pPr>
      <w:r w:rsidRPr="004A7EDA">
        <w:rPr>
          <w:lang w:val="en-GB"/>
        </w:rPr>
        <w:t>In response to the COVID-19 pandemic, the Victorian Government announced a $15.7 million Export Recovery Package to address logistics and supply chain issues and establish new export channels.</w:t>
      </w:r>
    </w:p>
    <w:p w14:paraId="6F62D569" w14:textId="161F49D7" w:rsidR="004A7EDA" w:rsidRPr="004A7EDA" w:rsidRDefault="004A7EDA" w:rsidP="004A7EDA">
      <w:pPr>
        <w:rPr>
          <w:lang w:val="en-GB"/>
        </w:rPr>
      </w:pPr>
      <w:r w:rsidRPr="004A7EDA">
        <w:rPr>
          <w:lang w:val="en-GB"/>
        </w:rPr>
        <w:t>The package of programs included:</w:t>
      </w:r>
    </w:p>
    <w:p w14:paraId="3DA21D0C" w14:textId="77777777" w:rsidR="004A7EDA" w:rsidRPr="004A7EDA" w:rsidRDefault="004A7EDA" w:rsidP="00113763">
      <w:pPr>
        <w:pStyle w:val="Bullet"/>
        <w:rPr>
          <w:lang w:val="en-GB"/>
        </w:rPr>
      </w:pPr>
      <w:r w:rsidRPr="004A7EDA">
        <w:rPr>
          <w:lang w:val="en-GB"/>
        </w:rPr>
        <w:t>The Global Gateway Program – to support high performing Victorian exporters to stabilise and adapt to recovery</w:t>
      </w:r>
    </w:p>
    <w:p w14:paraId="0F413199" w14:textId="77777777" w:rsidR="004A7EDA" w:rsidRPr="004A7EDA" w:rsidRDefault="004A7EDA" w:rsidP="00113763">
      <w:pPr>
        <w:pStyle w:val="Bullet"/>
        <w:rPr>
          <w:lang w:val="en-GB"/>
        </w:rPr>
      </w:pPr>
      <w:r w:rsidRPr="004A7EDA">
        <w:rPr>
          <w:lang w:val="en-GB"/>
        </w:rPr>
        <w:t>A dedicated virtual trade mission program – for local businesses to re-introduce Victorian products and services to the fastest and strongest recovering international markets</w:t>
      </w:r>
    </w:p>
    <w:p w14:paraId="5318850F" w14:textId="77777777" w:rsidR="004A7EDA" w:rsidRPr="004A7EDA" w:rsidRDefault="004A7EDA" w:rsidP="00113763">
      <w:pPr>
        <w:pStyle w:val="Bullet"/>
        <w:rPr>
          <w:lang w:val="en-GB"/>
        </w:rPr>
      </w:pPr>
      <w:r w:rsidRPr="004A7EDA">
        <w:rPr>
          <w:lang w:val="en-GB"/>
        </w:rPr>
        <w:t>eCommerce initiatives – to increase the profile and sales of Victorian products through key eCommerce channels</w:t>
      </w:r>
    </w:p>
    <w:p w14:paraId="6EB57F6A" w14:textId="77777777" w:rsidR="004A7EDA" w:rsidRPr="004A7EDA" w:rsidRDefault="004A7EDA" w:rsidP="00113763">
      <w:pPr>
        <w:pStyle w:val="Bullet"/>
        <w:rPr>
          <w:lang w:val="en-GB"/>
        </w:rPr>
      </w:pPr>
      <w:r w:rsidRPr="004A7EDA">
        <w:rPr>
          <w:lang w:val="en-GB"/>
        </w:rPr>
        <w:t>Freight Stabilisation initiatives – for exporters of high-value Victorian goods to address their logistics and supply chain issues.</w:t>
      </w:r>
    </w:p>
    <w:p w14:paraId="6A844824" w14:textId="77777777" w:rsidR="004A7EDA" w:rsidRPr="004A7EDA" w:rsidRDefault="004A7EDA" w:rsidP="004A7EDA">
      <w:pPr>
        <w:rPr>
          <w:lang w:val="en-GB"/>
        </w:rPr>
      </w:pPr>
      <w:r w:rsidRPr="004A7EDA">
        <w:rPr>
          <w:lang w:val="en-GB"/>
        </w:rPr>
        <w:t xml:space="preserve">The department experienced strong demand and uptake for export programs delivered during 2020–21 that was significantly buoyed by Export Recovery Package funding. Export programs delivered by the department with staff based in Melbourne and throughout the 23 Victorian Government Trade and Investment network offices provided tailored support to assist firms to realise and capture export sales. Over 3170 Victorian businesses participated in export programs, and over 1260 international delegates were involved in virtual missions and other key initiatives. </w:t>
      </w:r>
    </w:p>
    <w:p w14:paraId="6FD07839" w14:textId="77777777" w:rsidR="004A7EDA" w:rsidRPr="004A7EDA" w:rsidRDefault="004A7EDA" w:rsidP="004A7EDA">
      <w:pPr>
        <w:rPr>
          <w:lang w:val="en-GB"/>
        </w:rPr>
      </w:pPr>
      <w:r w:rsidRPr="004A7EDA">
        <w:rPr>
          <w:lang w:val="en-GB"/>
        </w:rPr>
        <w:t>In 2021–22, with COVID-19 still presenting significant impediments on international business activities, the department will continue to deliver a suite of programs and services that assist Victorian businesses to remain engaged in key export markets. The department will work closely with key partner organisations to extend business outreach to facilitate and deliver support for Victorian companies engaging in international trade.</w:t>
      </w:r>
    </w:p>
    <w:p w14:paraId="5E4F6734" w14:textId="77777777" w:rsidR="004A7EDA" w:rsidRPr="004A7EDA" w:rsidRDefault="004A7EDA" w:rsidP="00113763">
      <w:pPr>
        <w:pStyle w:val="Heading4"/>
        <w:rPr>
          <w:lang w:val="en-GB"/>
        </w:rPr>
      </w:pPr>
      <w:r w:rsidRPr="004A7EDA">
        <w:rPr>
          <w:lang w:val="en-GB"/>
        </w:rPr>
        <w:t>Indicator: International students attracted to Victoria</w:t>
      </w:r>
    </w:p>
    <w:p w14:paraId="273714E7" w14:textId="77777777" w:rsidR="004A7EDA" w:rsidRPr="004A7EDA" w:rsidRDefault="004A7EDA" w:rsidP="00113763">
      <w:pPr>
        <w:pStyle w:val="Heading5"/>
        <w:rPr>
          <w:lang w:val="en-GB"/>
        </w:rPr>
      </w:pPr>
      <w:r w:rsidRPr="004A7EDA">
        <w:rPr>
          <w:lang w:val="en-GB"/>
        </w:rPr>
        <w:t xml:space="preserve">Table 7: Victoria’s proportion of international </w:t>
      </w:r>
      <w:r w:rsidRPr="00113763">
        <w:t>student</w:t>
      </w:r>
      <w:r w:rsidRPr="004A7EDA">
        <w:rPr>
          <w:lang w:val="en-GB"/>
        </w:rPr>
        <w:t xml:space="preserve"> enrolments in Australia</w:t>
      </w:r>
    </w:p>
    <w:tbl>
      <w:tblPr>
        <w:tblW w:w="0" w:type="auto"/>
        <w:tblInd w:w="28" w:type="dxa"/>
        <w:tblLayout w:type="fixed"/>
        <w:tblCellMar>
          <w:left w:w="0" w:type="dxa"/>
          <w:right w:w="0" w:type="dxa"/>
        </w:tblCellMar>
        <w:tblLook w:val="0000" w:firstRow="0" w:lastRow="0" w:firstColumn="0" w:lastColumn="0" w:noHBand="0" w:noVBand="0"/>
      </w:tblPr>
      <w:tblGrid>
        <w:gridCol w:w="4195"/>
        <w:gridCol w:w="1356"/>
        <w:gridCol w:w="1356"/>
        <w:gridCol w:w="1355"/>
        <w:gridCol w:w="1356"/>
      </w:tblGrid>
      <w:tr w:rsidR="004A7EDA" w:rsidRPr="0082026D" w14:paraId="19BA4C3E"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729A1B0" w14:textId="77777777" w:rsidR="004A7EDA" w:rsidRPr="0082026D" w:rsidRDefault="004A7EDA" w:rsidP="0082026D">
            <w:pPr>
              <w:pStyle w:val="TableHeading"/>
            </w:pPr>
            <w:r w:rsidRPr="0082026D">
              <w:t>Measure (unit of measure)</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32C8027" w14:textId="77777777" w:rsidR="004A7EDA" w:rsidRPr="0082026D" w:rsidRDefault="004A7EDA" w:rsidP="00C34B9B">
            <w:pPr>
              <w:pStyle w:val="TableHeading"/>
              <w:jc w:val="right"/>
            </w:pPr>
            <w:r w:rsidRPr="0082026D">
              <w:t>2017–18</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D3D403E" w14:textId="77777777" w:rsidR="004A7EDA" w:rsidRPr="0082026D" w:rsidRDefault="004A7EDA" w:rsidP="00C34B9B">
            <w:pPr>
              <w:pStyle w:val="TableHeading"/>
              <w:jc w:val="right"/>
            </w:pPr>
            <w:r w:rsidRPr="0082026D">
              <w:t>2018–19</w:t>
            </w:r>
          </w:p>
        </w:tc>
        <w:tc>
          <w:tcPr>
            <w:tcW w:w="135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1D66FD3" w14:textId="77777777" w:rsidR="004A7EDA" w:rsidRPr="0082026D" w:rsidRDefault="004A7EDA" w:rsidP="00C34B9B">
            <w:pPr>
              <w:pStyle w:val="TableHeading"/>
              <w:jc w:val="right"/>
            </w:pPr>
            <w:r w:rsidRPr="0082026D">
              <w:t>2019–20</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A8CE1AB" w14:textId="77777777" w:rsidR="004A7EDA" w:rsidRPr="0082026D" w:rsidRDefault="004A7EDA" w:rsidP="00C34B9B">
            <w:pPr>
              <w:pStyle w:val="TableHeading"/>
              <w:jc w:val="right"/>
            </w:pPr>
            <w:r w:rsidRPr="0082026D">
              <w:t>2020–21</w:t>
            </w:r>
          </w:p>
        </w:tc>
      </w:tr>
      <w:tr w:rsidR="004A7EDA" w:rsidRPr="004A7EDA" w14:paraId="1C7D7223"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B0BA850" w14:textId="4BC9665F" w:rsidR="004A7EDA" w:rsidRPr="004A7EDA" w:rsidRDefault="004A7EDA" w:rsidP="0082026D">
            <w:pPr>
              <w:pStyle w:val="TableCopy"/>
              <w:rPr>
                <w:lang w:val="en-GB"/>
              </w:rPr>
            </w:pPr>
            <w:r w:rsidRPr="004A7EDA">
              <w:rPr>
                <w:lang w:val="en-GB"/>
              </w:rPr>
              <w:t>Victoria’s proportion of all international student enrolments in Australia</w:t>
            </w:r>
            <w:r w:rsidR="00EA2E03">
              <w:rPr>
                <w:lang w:val="en-GB"/>
              </w:rPr>
              <w:t xml:space="preserve"> </w:t>
            </w:r>
            <w:r w:rsidRPr="004A7EDA">
              <w:rPr>
                <w:lang w:val="en-GB"/>
              </w:rPr>
              <w:t>(per cent)</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944CAF9" w14:textId="77777777" w:rsidR="004A7EDA" w:rsidRPr="004A7EDA" w:rsidRDefault="004A7EDA" w:rsidP="00C34B9B">
            <w:pPr>
              <w:pStyle w:val="TableCopy"/>
              <w:jc w:val="right"/>
              <w:rPr>
                <w:lang w:val="en-GB"/>
              </w:rPr>
            </w:pPr>
            <w:r w:rsidRPr="004A7EDA">
              <w:rPr>
                <w:lang w:val="en-GB"/>
              </w:rPr>
              <w:t>31.7</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F2B77FD" w14:textId="77777777" w:rsidR="004A7EDA" w:rsidRPr="004A7EDA" w:rsidRDefault="004A7EDA" w:rsidP="00C34B9B">
            <w:pPr>
              <w:pStyle w:val="TableCopy"/>
              <w:jc w:val="right"/>
              <w:rPr>
                <w:lang w:val="en-GB"/>
              </w:rPr>
            </w:pPr>
            <w:r w:rsidRPr="004A7EDA">
              <w:rPr>
                <w:lang w:val="en-GB"/>
              </w:rPr>
              <w:t>32.1</w:t>
            </w:r>
          </w:p>
        </w:tc>
        <w:tc>
          <w:tcPr>
            <w:tcW w:w="135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1A71454" w14:textId="77777777" w:rsidR="004A7EDA" w:rsidRPr="004A7EDA" w:rsidRDefault="004A7EDA" w:rsidP="00C34B9B">
            <w:pPr>
              <w:pStyle w:val="TableCopy"/>
              <w:jc w:val="right"/>
              <w:rPr>
                <w:lang w:val="en-GB"/>
              </w:rPr>
            </w:pPr>
            <w:r w:rsidRPr="004A7EDA">
              <w:rPr>
                <w:lang w:val="en-GB"/>
              </w:rPr>
              <w:t>32.3</w:t>
            </w:r>
          </w:p>
        </w:tc>
        <w:tc>
          <w:tcPr>
            <w:tcW w:w="135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1C3B82E" w14:textId="77777777" w:rsidR="004A7EDA" w:rsidRPr="004A7EDA" w:rsidRDefault="004A7EDA" w:rsidP="00C34B9B">
            <w:pPr>
              <w:pStyle w:val="TableCopy"/>
              <w:jc w:val="right"/>
              <w:rPr>
                <w:lang w:val="en-GB"/>
              </w:rPr>
            </w:pPr>
            <w:r w:rsidRPr="004A7EDA">
              <w:rPr>
                <w:lang w:val="en-GB"/>
              </w:rPr>
              <w:t>32.2</w:t>
            </w:r>
          </w:p>
        </w:tc>
      </w:tr>
      <w:tr w:rsidR="004A7EDA" w:rsidRPr="004A7EDA" w14:paraId="271BD3B8" w14:textId="77777777">
        <w:trPr>
          <w:trHeight w:val="113"/>
        </w:trPr>
        <w:tc>
          <w:tcPr>
            <w:tcW w:w="9618" w:type="dxa"/>
            <w:gridSpan w:val="5"/>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3906FC0" w14:textId="235D511A" w:rsidR="004A7EDA" w:rsidRPr="004A7EDA" w:rsidRDefault="004A7EDA" w:rsidP="0082026D">
            <w:pPr>
              <w:pStyle w:val="Tablenotes"/>
            </w:pPr>
            <w:r w:rsidRPr="004A7EDA">
              <w:t>Note: Financial year data on international student enrolments is not available. Figures in the table are calendar year data reflecting</w:t>
            </w:r>
            <w:r w:rsidR="00113763">
              <w:t xml:space="preserve"> </w:t>
            </w:r>
            <w:r w:rsidRPr="004A7EDA">
              <w:t>the academic year and capturing peaks and troughs of enrolment periods.</w:t>
            </w:r>
          </w:p>
        </w:tc>
      </w:tr>
    </w:tbl>
    <w:p w14:paraId="2536157B" w14:textId="0117E68C" w:rsidR="004A7EDA" w:rsidRPr="004A7EDA" w:rsidRDefault="004A7EDA" w:rsidP="00113763">
      <w:pPr>
        <w:pStyle w:val="Heading5"/>
        <w:rPr>
          <w:lang w:val="en-GB"/>
        </w:rPr>
      </w:pPr>
      <w:r w:rsidRPr="004A7EDA">
        <w:rPr>
          <w:lang w:val="en-GB"/>
        </w:rPr>
        <w:t>Figure 5: Victoria’s proportion of international</w:t>
      </w:r>
      <w:r w:rsidR="00113763">
        <w:rPr>
          <w:lang w:val="en-GB"/>
        </w:rPr>
        <w:t xml:space="preserve"> </w:t>
      </w:r>
      <w:r w:rsidRPr="004A7EDA">
        <w:rPr>
          <w:lang w:val="en-GB"/>
        </w:rPr>
        <w:t>student enrolments in Australia</w:t>
      </w:r>
    </w:p>
    <w:p w14:paraId="26E2DD16" w14:textId="0DE161C4" w:rsidR="004A7EDA" w:rsidRPr="004A7EDA" w:rsidRDefault="00113763" w:rsidP="004A7EDA">
      <w:pPr>
        <w:rPr>
          <w:lang w:val="en-GB"/>
        </w:rPr>
      </w:pPr>
      <w:r>
        <w:rPr>
          <w:noProof/>
          <w:lang w:val="en-GB"/>
        </w:rPr>
        <w:lastRenderedPageBreak/>
        <w:drawing>
          <wp:inline distT="0" distB="0" distL="0" distR="0" wp14:anchorId="1A7065AC" wp14:editId="687E0617">
            <wp:extent cx="2895600" cy="1975757"/>
            <wp:effectExtent l="0" t="0" r="0" b="0"/>
            <wp:docPr id="5" name="Picture 5" descr="Chart&#10;&#10;Victoria’s proportion of international student enrolments in Australia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Victoria’s proportion of international student enrolments in Australia 2017-2021"/>
                    <pic:cNvPicPr/>
                  </pic:nvPicPr>
                  <pic:blipFill rotWithShape="1">
                    <a:blip r:embed="rId15"/>
                    <a:srcRect b="21030"/>
                    <a:stretch/>
                  </pic:blipFill>
                  <pic:spPr bwMode="auto">
                    <a:xfrm>
                      <a:off x="0" y="0"/>
                      <a:ext cx="2895600" cy="1975757"/>
                    </a:xfrm>
                    <a:prstGeom prst="rect">
                      <a:avLst/>
                    </a:prstGeom>
                    <a:ln>
                      <a:noFill/>
                    </a:ln>
                    <a:extLst>
                      <a:ext uri="{53640926-AAD7-44D8-BBD7-CCE9431645EC}">
                        <a14:shadowObscured xmlns:a14="http://schemas.microsoft.com/office/drawing/2010/main"/>
                      </a:ext>
                    </a:extLst>
                  </pic:spPr>
                </pic:pic>
              </a:graphicData>
            </a:graphic>
          </wp:inline>
        </w:drawing>
      </w:r>
    </w:p>
    <w:p w14:paraId="684860D1" w14:textId="702C0256" w:rsidR="004A7EDA" w:rsidRPr="004A7EDA" w:rsidRDefault="004A7EDA" w:rsidP="004A7EDA">
      <w:pPr>
        <w:rPr>
          <w:lang w:val="en-GB"/>
        </w:rPr>
      </w:pPr>
      <w:r w:rsidRPr="004A7EDA">
        <w:rPr>
          <w:lang w:val="en-GB"/>
        </w:rPr>
        <w:t>Victoria’s national market share of international students remained steady in 2020, at 32.2 per cent, down from 32.3 per cent in 2019 – the fourth consecutive year Victoria has held a 32 per cent market share. This result was built on significant growth from South Asian markets in recent years.</w:t>
      </w:r>
      <w:r w:rsidR="00113763">
        <w:rPr>
          <w:lang w:val="en-GB"/>
        </w:rPr>
        <w:t xml:space="preserve"> </w:t>
      </w:r>
      <w:r w:rsidRPr="004A7EDA">
        <w:rPr>
          <w:lang w:val="en-GB"/>
        </w:rPr>
        <w:t>It also reflects the broad impact of Australia’s closed international borders on all states and territories.</w:t>
      </w:r>
    </w:p>
    <w:p w14:paraId="3BB72B3C" w14:textId="77777777" w:rsidR="004A7EDA" w:rsidRPr="004A7EDA" w:rsidRDefault="004A7EDA" w:rsidP="004A7EDA">
      <w:pPr>
        <w:rPr>
          <w:lang w:val="en-GB"/>
        </w:rPr>
      </w:pPr>
      <w:r w:rsidRPr="004A7EDA">
        <w:rPr>
          <w:lang w:val="en-GB"/>
        </w:rPr>
        <w:t>The impact of COVID-19 and prolonged international border closures on Victoria’s international education sector has been severe. While international education remained Victoria’s largest services export in 2020, education exports decreased by 23 per cent to $10.5 billion – down from a record high $13.7 billion in 2019. This has economy-wide ramifications given the sector’s critical role as a driver of future economic growth.</w:t>
      </w:r>
    </w:p>
    <w:p w14:paraId="7D02798E" w14:textId="77777777" w:rsidR="004A7EDA" w:rsidRPr="004A7EDA" w:rsidRDefault="004A7EDA" w:rsidP="004A7EDA">
      <w:pPr>
        <w:rPr>
          <w:lang w:val="en-GB"/>
        </w:rPr>
      </w:pPr>
      <w:r w:rsidRPr="004A7EDA">
        <w:rPr>
          <w:lang w:val="en-GB"/>
        </w:rPr>
        <w:t xml:space="preserve">In 2020 the overall number of international students studying with Victorian providers (including student visa holders located offshore) declined by 9.8 per cent to around 226,000 students. This downward trend was even starker with international student commencements (enrolments beginning in a new sector, new course, or new provider) down 22.7 per cent to around 124,000. This major decline along with the diminishing student pipeline (graduating students not being replaced by new students) signals an impending and protracted period of significantly reduced enrolments. </w:t>
      </w:r>
    </w:p>
    <w:p w14:paraId="4DB12BAA" w14:textId="2A1B41B2" w:rsidR="004A7EDA" w:rsidRPr="004A7EDA" w:rsidRDefault="004A7EDA" w:rsidP="004A7EDA">
      <w:pPr>
        <w:rPr>
          <w:lang w:val="en-GB"/>
        </w:rPr>
      </w:pPr>
      <w:r w:rsidRPr="004A7EDA">
        <w:rPr>
          <w:lang w:val="en-GB"/>
        </w:rPr>
        <w:t>In 2020–21 the government released its $33.4 million International Education Short-Term Recovery Plan, to stabilise Victoria’s international education sector and position it for recovery. This plan provided support for all segments of the international education sector and played to Victoria’s strengths – including being home to Australia’s best student city, a ranking retained despite the pandemic</w:t>
      </w:r>
      <w:r w:rsidR="00113763">
        <w:rPr>
          <w:lang w:val="en-GB"/>
        </w:rPr>
        <w:t xml:space="preserve"> </w:t>
      </w:r>
      <w:r w:rsidRPr="004A7EDA">
        <w:rPr>
          <w:lang w:val="en-GB"/>
        </w:rPr>
        <w:t xml:space="preserve">(QS Best Student Cities 2022). </w:t>
      </w:r>
    </w:p>
    <w:p w14:paraId="20E4FC91" w14:textId="77777777" w:rsidR="004A7EDA" w:rsidRPr="004A7EDA" w:rsidRDefault="004A7EDA" w:rsidP="004A7EDA">
      <w:pPr>
        <w:rPr>
          <w:lang w:val="en-GB"/>
        </w:rPr>
      </w:pPr>
      <w:r w:rsidRPr="004A7EDA">
        <w:rPr>
          <w:lang w:val="en-GB"/>
        </w:rPr>
        <w:t xml:space="preserve">Initiatives included a Pathway to Victoria scholarship and international research partnerships program to encourage prospective students to make Victoria their first choice. The Victorian Global Education Network was also expanded into the emerging high-growth markets of Vietnam, </w:t>
      </w:r>
      <w:proofErr w:type="gramStart"/>
      <w:r w:rsidRPr="004A7EDA">
        <w:rPr>
          <w:lang w:val="en-GB"/>
        </w:rPr>
        <w:t>Brazil</w:t>
      </w:r>
      <w:proofErr w:type="gramEnd"/>
      <w:r w:rsidRPr="004A7EDA">
        <w:rPr>
          <w:lang w:val="en-GB"/>
        </w:rPr>
        <w:t xml:space="preserve"> and Kenya, alongside investment in five new Study Melbourne Hubs located in strategic international markets – better supporting and connecting students studying online and offshore. </w:t>
      </w:r>
    </w:p>
    <w:p w14:paraId="786DFF75" w14:textId="5425BDB3" w:rsidR="004A7EDA" w:rsidRPr="004A7EDA" w:rsidRDefault="004A7EDA" w:rsidP="004A7EDA">
      <w:pPr>
        <w:rPr>
          <w:lang w:val="en-GB"/>
        </w:rPr>
      </w:pPr>
      <w:r w:rsidRPr="004A7EDA">
        <w:rPr>
          <w:lang w:val="en-GB"/>
        </w:rPr>
        <w:t>While expanding Study Melbourne’s global</w:t>
      </w:r>
      <w:r w:rsidR="00113763">
        <w:rPr>
          <w:lang w:val="en-GB"/>
        </w:rPr>
        <w:t xml:space="preserve"> </w:t>
      </w:r>
      <w:r w:rsidRPr="004A7EDA">
        <w:rPr>
          <w:lang w:val="en-GB"/>
        </w:rPr>
        <w:t>reach, the government continued its significant</w:t>
      </w:r>
      <w:r w:rsidR="00113763">
        <w:rPr>
          <w:lang w:val="en-GB"/>
        </w:rPr>
        <w:t xml:space="preserve"> </w:t>
      </w:r>
      <w:r w:rsidRPr="004A7EDA">
        <w:rPr>
          <w:lang w:val="en-GB"/>
        </w:rPr>
        <w:t>investment in Victoria’s onshore international</w:t>
      </w:r>
      <w:r w:rsidR="00113763">
        <w:rPr>
          <w:lang w:val="en-GB"/>
        </w:rPr>
        <w:t xml:space="preserve"> </w:t>
      </w:r>
      <w:r w:rsidRPr="004A7EDA">
        <w:rPr>
          <w:lang w:val="en-GB"/>
        </w:rPr>
        <w:t>student community. This included boosting Study</w:t>
      </w:r>
      <w:r w:rsidR="00113763">
        <w:rPr>
          <w:lang w:val="en-GB"/>
        </w:rPr>
        <w:t xml:space="preserve"> </w:t>
      </w:r>
      <w:r w:rsidRPr="004A7EDA">
        <w:rPr>
          <w:lang w:val="en-GB"/>
        </w:rPr>
        <w:t>Melbourne Student Centre services, providing</w:t>
      </w:r>
      <w:r w:rsidR="00113763">
        <w:rPr>
          <w:lang w:val="en-GB"/>
        </w:rPr>
        <w:t xml:space="preserve"> </w:t>
      </w:r>
      <w:r w:rsidRPr="004A7EDA">
        <w:rPr>
          <w:lang w:val="en-GB"/>
        </w:rPr>
        <w:t>critical support through referrals, complex</w:t>
      </w:r>
      <w:r w:rsidR="00113763">
        <w:rPr>
          <w:lang w:val="en-GB"/>
        </w:rPr>
        <w:t xml:space="preserve"> </w:t>
      </w:r>
      <w:r w:rsidRPr="004A7EDA">
        <w:rPr>
          <w:lang w:val="en-GB"/>
        </w:rPr>
        <w:t>casework, and emergency aid to around 4400</w:t>
      </w:r>
      <w:r w:rsidR="00113763">
        <w:rPr>
          <w:lang w:val="en-GB"/>
        </w:rPr>
        <w:t xml:space="preserve"> </w:t>
      </w:r>
      <w:r w:rsidRPr="004A7EDA">
        <w:rPr>
          <w:lang w:val="en-GB"/>
        </w:rPr>
        <w:t>international students in need. The government</w:t>
      </w:r>
      <w:r w:rsidR="00113763">
        <w:rPr>
          <w:lang w:val="en-GB"/>
        </w:rPr>
        <w:t xml:space="preserve"> </w:t>
      </w:r>
      <w:r w:rsidRPr="004A7EDA">
        <w:rPr>
          <w:lang w:val="en-GB"/>
        </w:rPr>
        <w:t xml:space="preserve">also delivered its $45 million International Student Emergency Relief Fund, providing payments to more than 20,600 international students who experienced financial hardship in 2020–21 </w:t>
      </w:r>
      <w:proofErr w:type="gramStart"/>
      <w:r w:rsidRPr="004A7EDA">
        <w:rPr>
          <w:lang w:val="en-GB"/>
        </w:rPr>
        <w:t>as a result of</w:t>
      </w:r>
      <w:proofErr w:type="gramEnd"/>
      <w:r w:rsidRPr="004A7EDA">
        <w:rPr>
          <w:lang w:val="en-GB"/>
        </w:rPr>
        <w:t xml:space="preserve"> the COVID-19 pandemic.</w:t>
      </w:r>
    </w:p>
    <w:p w14:paraId="2EEE2B8F" w14:textId="77777777" w:rsidR="004A7EDA" w:rsidRPr="004A7EDA" w:rsidRDefault="004A7EDA" w:rsidP="00113763">
      <w:pPr>
        <w:pStyle w:val="Heading4"/>
        <w:rPr>
          <w:lang w:val="en-GB"/>
        </w:rPr>
      </w:pPr>
      <w:r w:rsidRPr="004A7EDA">
        <w:rPr>
          <w:lang w:val="en-GB"/>
        </w:rPr>
        <w:t>Performance against output performance measures</w:t>
      </w:r>
    </w:p>
    <w:p w14:paraId="0209D0C3" w14:textId="77777777" w:rsidR="004A7EDA" w:rsidRPr="004A7EDA" w:rsidRDefault="004A7EDA" w:rsidP="004A7EDA">
      <w:pPr>
        <w:rPr>
          <w:lang w:val="en-GB"/>
        </w:rPr>
      </w:pPr>
      <w:r w:rsidRPr="004A7EDA">
        <w:rPr>
          <w:lang w:val="en-GB"/>
        </w:rPr>
        <w:t>Table 8 represents performance against the Trade and Global Engagement output. This output promotes business growth opportunities by connecting organisations to global business opportunities in priority markets and supporting the establishment and deepening of strategic commercial partnerships. It also positions Victoria as a destination of choice for international students.</w:t>
      </w:r>
    </w:p>
    <w:p w14:paraId="4D9A8B13" w14:textId="77777777" w:rsidR="004A7EDA" w:rsidRPr="004A7EDA" w:rsidRDefault="004A7EDA" w:rsidP="00113763">
      <w:pPr>
        <w:pStyle w:val="Heading5"/>
        <w:rPr>
          <w:lang w:val="en-GB"/>
        </w:rPr>
      </w:pPr>
      <w:r w:rsidRPr="004A7EDA">
        <w:rPr>
          <w:lang w:val="en-GB"/>
        </w:rPr>
        <w:t>Table 8: Output – Trade and Global Engagement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9"/>
        <w:gridCol w:w="964"/>
        <w:gridCol w:w="963"/>
        <w:gridCol w:w="964"/>
        <w:gridCol w:w="1304"/>
        <w:gridCol w:w="964"/>
      </w:tblGrid>
      <w:tr w:rsidR="004A7EDA" w:rsidRPr="004A7EDA" w14:paraId="1B2BAD2E" w14:textId="77777777" w:rsidTr="0082026D">
        <w:trPr>
          <w:trHeight w:val="113"/>
          <w:tblHeader/>
        </w:trPr>
        <w:tc>
          <w:tcPr>
            <w:tcW w:w="4479" w:type="dxa"/>
            <w:shd w:val="clear" w:color="auto" w:fill="auto"/>
            <w:tcMar>
              <w:top w:w="113" w:type="dxa"/>
              <w:left w:w="28" w:type="dxa"/>
              <w:bottom w:w="113" w:type="dxa"/>
              <w:right w:w="28" w:type="dxa"/>
            </w:tcMar>
          </w:tcPr>
          <w:p w14:paraId="3CD647A0" w14:textId="77777777" w:rsidR="004A7EDA" w:rsidRPr="004A7EDA" w:rsidRDefault="004A7EDA" w:rsidP="00991083">
            <w:pPr>
              <w:pStyle w:val="TableHeading"/>
              <w:rPr>
                <w:lang w:val="en-GB"/>
              </w:rPr>
            </w:pPr>
            <w:r w:rsidRPr="004A7EDA">
              <w:rPr>
                <w:lang w:val="en-GB"/>
              </w:rPr>
              <w:t>Performance measures</w:t>
            </w:r>
          </w:p>
        </w:tc>
        <w:tc>
          <w:tcPr>
            <w:tcW w:w="964" w:type="dxa"/>
            <w:shd w:val="clear" w:color="auto" w:fill="auto"/>
            <w:tcMar>
              <w:top w:w="113" w:type="dxa"/>
              <w:left w:w="28" w:type="dxa"/>
              <w:bottom w:w="113" w:type="dxa"/>
              <w:right w:w="28" w:type="dxa"/>
            </w:tcMar>
          </w:tcPr>
          <w:p w14:paraId="038688F0" w14:textId="77777777" w:rsidR="004A7EDA" w:rsidRPr="004A7EDA" w:rsidRDefault="004A7EDA" w:rsidP="00991083">
            <w:pPr>
              <w:pStyle w:val="TableHeading"/>
              <w:rPr>
                <w:lang w:val="en-GB"/>
              </w:rPr>
            </w:pPr>
            <w:r w:rsidRPr="004A7EDA">
              <w:rPr>
                <w:lang w:val="en-GB"/>
              </w:rPr>
              <w:t>Unit of measure</w:t>
            </w:r>
          </w:p>
        </w:tc>
        <w:tc>
          <w:tcPr>
            <w:tcW w:w="963" w:type="dxa"/>
            <w:shd w:val="clear" w:color="auto" w:fill="auto"/>
            <w:tcMar>
              <w:top w:w="113" w:type="dxa"/>
              <w:left w:w="28" w:type="dxa"/>
              <w:bottom w:w="113" w:type="dxa"/>
              <w:right w:w="28" w:type="dxa"/>
            </w:tcMar>
          </w:tcPr>
          <w:p w14:paraId="5B40216C" w14:textId="77777777" w:rsidR="004A7EDA" w:rsidRPr="004A7EDA" w:rsidRDefault="004A7EDA" w:rsidP="00991083">
            <w:pPr>
              <w:pStyle w:val="TableHeading"/>
              <w:rPr>
                <w:lang w:val="en-GB"/>
              </w:rPr>
            </w:pPr>
            <w:r w:rsidRPr="004A7EDA">
              <w:rPr>
                <w:lang w:val="en-GB"/>
              </w:rPr>
              <w:t>2020–21 actual</w:t>
            </w:r>
          </w:p>
        </w:tc>
        <w:tc>
          <w:tcPr>
            <w:tcW w:w="964" w:type="dxa"/>
            <w:shd w:val="clear" w:color="auto" w:fill="auto"/>
            <w:tcMar>
              <w:top w:w="113" w:type="dxa"/>
              <w:left w:w="28" w:type="dxa"/>
              <w:bottom w:w="113" w:type="dxa"/>
              <w:right w:w="28" w:type="dxa"/>
            </w:tcMar>
          </w:tcPr>
          <w:p w14:paraId="464F1BF4" w14:textId="77777777" w:rsidR="004A7EDA" w:rsidRPr="004A7EDA" w:rsidRDefault="004A7EDA" w:rsidP="00991083">
            <w:pPr>
              <w:pStyle w:val="TableHeading"/>
              <w:rPr>
                <w:lang w:val="en-GB"/>
              </w:rPr>
            </w:pPr>
            <w:r w:rsidRPr="004A7EDA">
              <w:rPr>
                <w:lang w:val="en-GB"/>
              </w:rPr>
              <w:t>2020–21 target</w:t>
            </w:r>
          </w:p>
        </w:tc>
        <w:tc>
          <w:tcPr>
            <w:tcW w:w="1304" w:type="dxa"/>
            <w:shd w:val="clear" w:color="auto" w:fill="auto"/>
            <w:tcMar>
              <w:top w:w="113" w:type="dxa"/>
              <w:left w:w="28" w:type="dxa"/>
              <w:bottom w:w="113" w:type="dxa"/>
              <w:right w:w="28" w:type="dxa"/>
            </w:tcMar>
          </w:tcPr>
          <w:p w14:paraId="63F032CF" w14:textId="77777777" w:rsidR="004A7EDA" w:rsidRPr="004A7EDA" w:rsidRDefault="004A7EDA" w:rsidP="00991083">
            <w:pPr>
              <w:pStyle w:val="TableHeading"/>
              <w:rPr>
                <w:lang w:val="en-GB"/>
              </w:rPr>
            </w:pPr>
            <w:r w:rsidRPr="004A7EDA">
              <w:rPr>
                <w:lang w:val="en-GB"/>
              </w:rPr>
              <w:t>Performance variation (%)</w:t>
            </w:r>
          </w:p>
        </w:tc>
        <w:tc>
          <w:tcPr>
            <w:tcW w:w="964" w:type="dxa"/>
            <w:shd w:val="clear" w:color="auto" w:fill="auto"/>
            <w:tcMar>
              <w:top w:w="113" w:type="dxa"/>
              <w:left w:w="28" w:type="dxa"/>
              <w:bottom w:w="113" w:type="dxa"/>
              <w:right w:w="28" w:type="dxa"/>
            </w:tcMar>
          </w:tcPr>
          <w:p w14:paraId="10DA20DE" w14:textId="77777777" w:rsidR="004A7EDA" w:rsidRPr="004A7EDA" w:rsidRDefault="004A7EDA" w:rsidP="00991083">
            <w:pPr>
              <w:pStyle w:val="TableHeading"/>
              <w:rPr>
                <w:lang w:val="en-GB"/>
              </w:rPr>
            </w:pPr>
            <w:r w:rsidRPr="004A7EDA">
              <w:rPr>
                <w:lang w:val="en-GB"/>
              </w:rPr>
              <w:t>Result</w:t>
            </w:r>
          </w:p>
        </w:tc>
      </w:tr>
      <w:tr w:rsidR="004A7EDA" w:rsidRPr="00C34B9B" w14:paraId="0588D947" w14:textId="77777777" w:rsidTr="0082026D">
        <w:trPr>
          <w:trHeight w:val="113"/>
        </w:trPr>
        <w:tc>
          <w:tcPr>
            <w:tcW w:w="9638" w:type="dxa"/>
            <w:gridSpan w:val="6"/>
            <w:shd w:val="clear" w:color="auto" w:fill="auto"/>
            <w:tcMar>
              <w:top w:w="113" w:type="dxa"/>
              <w:left w:w="28" w:type="dxa"/>
              <w:bottom w:w="113" w:type="dxa"/>
              <w:right w:w="28" w:type="dxa"/>
            </w:tcMar>
          </w:tcPr>
          <w:p w14:paraId="759F90F4" w14:textId="77777777" w:rsidR="004A7EDA" w:rsidRPr="00C34B9B" w:rsidRDefault="004A7EDA" w:rsidP="00991083">
            <w:pPr>
              <w:pStyle w:val="TableCopy"/>
            </w:pPr>
            <w:r w:rsidRPr="00C34B9B">
              <w:t>Quantity</w:t>
            </w:r>
          </w:p>
        </w:tc>
      </w:tr>
      <w:tr w:rsidR="004A7EDA" w:rsidRPr="004A7EDA" w14:paraId="75C93CEF" w14:textId="77777777" w:rsidTr="0082026D">
        <w:trPr>
          <w:trHeight w:val="113"/>
        </w:trPr>
        <w:tc>
          <w:tcPr>
            <w:tcW w:w="4479" w:type="dxa"/>
            <w:shd w:val="clear" w:color="auto" w:fill="auto"/>
            <w:tcMar>
              <w:top w:w="113" w:type="dxa"/>
              <w:left w:w="28" w:type="dxa"/>
              <w:bottom w:w="113" w:type="dxa"/>
              <w:right w:w="28" w:type="dxa"/>
            </w:tcMar>
          </w:tcPr>
          <w:p w14:paraId="6E043D5A" w14:textId="77777777" w:rsidR="004A7EDA" w:rsidRPr="004A7EDA" w:rsidRDefault="004A7EDA" w:rsidP="00991083">
            <w:pPr>
              <w:pStyle w:val="TableCopy"/>
              <w:rPr>
                <w:lang w:val="en-GB"/>
              </w:rPr>
            </w:pPr>
            <w:r w:rsidRPr="004A7EDA">
              <w:rPr>
                <w:lang w:val="en-GB"/>
              </w:rPr>
              <w:t>Actual export sales generated as a result</w:t>
            </w:r>
            <w:r w:rsidRPr="004A7EDA">
              <w:rPr>
                <w:lang w:val="en-GB"/>
              </w:rPr>
              <w:br/>
              <w:t>of participation in government programs</w:t>
            </w:r>
          </w:p>
        </w:tc>
        <w:tc>
          <w:tcPr>
            <w:tcW w:w="964" w:type="dxa"/>
            <w:shd w:val="clear" w:color="auto" w:fill="auto"/>
            <w:tcMar>
              <w:top w:w="113" w:type="dxa"/>
              <w:left w:w="28" w:type="dxa"/>
              <w:bottom w:w="113" w:type="dxa"/>
              <w:right w:w="28" w:type="dxa"/>
            </w:tcMar>
          </w:tcPr>
          <w:p w14:paraId="33B28741" w14:textId="77777777" w:rsidR="004A7EDA" w:rsidRPr="004A7EDA" w:rsidRDefault="004A7EDA" w:rsidP="0099108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62FB8F45" w14:textId="77777777" w:rsidR="004A7EDA" w:rsidRPr="004A7EDA" w:rsidRDefault="004A7EDA" w:rsidP="00991083">
            <w:pPr>
              <w:pStyle w:val="TableCopy"/>
              <w:rPr>
                <w:lang w:val="en-GB"/>
              </w:rPr>
            </w:pPr>
            <w:r w:rsidRPr="004A7EDA">
              <w:rPr>
                <w:lang w:val="en-GB"/>
              </w:rPr>
              <w:t>569</w:t>
            </w:r>
          </w:p>
        </w:tc>
        <w:tc>
          <w:tcPr>
            <w:tcW w:w="964" w:type="dxa"/>
            <w:shd w:val="clear" w:color="auto" w:fill="auto"/>
            <w:tcMar>
              <w:top w:w="113" w:type="dxa"/>
              <w:left w:w="28" w:type="dxa"/>
              <w:bottom w:w="113" w:type="dxa"/>
              <w:right w:w="28" w:type="dxa"/>
            </w:tcMar>
          </w:tcPr>
          <w:p w14:paraId="67B42EEB" w14:textId="77777777" w:rsidR="004A7EDA" w:rsidRPr="004A7EDA" w:rsidRDefault="004A7EDA" w:rsidP="00991083">
            <w:pPr>
              <w:pStyle w:val="TableCopy"/>
              <w:rPr>
                <w:lang w:val="en-GB"/>
              </w:rPr>
            </w:pPr>
            <w:r w:rsidRPr="004A7EDA">
              <w:rPr>
                <w:lang w:val="en-GB"/>
              </w:rPr>
              <w:t>550</w:t>
            </w:r>
          </w:p>
        </w:tc>
        <w:tc>
          <w:tcPr>
            <w:tcW w:w="1304" w:type="dxa"/>
            <w:shd w:val="clear" w:color="auto" w:fill="auto"/>
            <w:tcMar>
              <w:top w:w="113" w:type="dxa"/>
              <w:left w:w="28" w:type="dxa"/>
              <w:bottom w:w="113" w:type="dxa"/>
              <w:right w:w="28" w:type="dxa"/>
            </w:tcMar>
          </w:tcPr>
          <w:p w14:paraId="0678D9F2" w14:textId="77777777" w:rsidR="004A7EDA" w:rsidRPr="004A7EDA" w:rsidRDefault="004A7EDA" w:rsidP="00991083">
            <w:pPr>
              <w:pStyle w:val="TableCopy"/>
              <w:rPr>
                <w:lang w:val="en-GB"/>
              </w:rPr>
            </w:pPr>
            <w:r w:rsidRPr="004A7EDA">
              <w:rPr>
                <w:lang w:val="en-GB"/>
              </w:rPr>
              <w:t>3.5%</w:t>
            </w:r>
          </w:p>
        </w:tc>
        <w:tc>
          <w:tcPr>
            <w:tcW w:w="964" w:type="dxa"/>
            <w:shd w:val="clear" w:color="auto" w:fill="auto"/>
            <w:tcMar>
              <w:top w:w="113" w:type="dxa"/>
              <w:left w:w="28" w:type="dxa"/>
              <w:bottom w:w="113" w:type="dxa"/>
              <w:right w:w="28" w:type="dxa"/>
            </w:tcMar>
          </w:tcPr>
          <w:p w14:paraId="654DD3F5" w14:textId="4E41809D" w:rsidR="004A7EDA" w:rsidRPr="004A7EDA" w:rsidRDefault="00113763" w:rsidP="00991083">
            <w:pPr>
              <w:pStyle w:val="TableCopy"/>
              <w:rPr>
                <w:lang w:val="en-GB"/>
              </w:rPr>
            </w:pPr>
            <w:r>
              <w:rPr>
                <w:lang w:val="en-GB"/>
              </w:rPr>
              <w:t>*</w:t>
            </w:r>
          </w:p>
        </w:tc>
      </w:tr>
      <w:tr w:rsidR="004A7EDA" w:rsidRPr="004A7EDA" w14:paraId="20A3DEB6" w14:textId="77777777" w:rsidTr="0082026D">
        <w:trPr>
          <w:trHeight w:val="113"/>
        </w:trPr>
        <w:tc>
          <w:tcPr>
            <w:tcW w:w="4479" w:type="dxa"/>
            <w:shd w:val="clear" w:color="auto" w:fill="auto"/>
            <w:tcMar>
              <w:top w:w="113" w:type="dxa"/>
              <w:left w:w="28" w:type="dxa"/>
              <w:bottom w:w="113" w:type="dxa"/>
              <w:right w:w="28" w:type="dxa"/>
            </w:tcMar>
          </w:tcPr>
          <w:p w14:paraId="4433A259" w14:textId="77777777" w:rsidR="004A7EDA" w:rsidRPr="004A7EDA" w:rsidRDefault="004A7EDA" w:rsidP="00991083">
            <w:pPr>
              <w:pStyle w:val="TableCopy"/>
              <w:rPr>
                <w:lang w:val="en-GB"/>
              </w:rPr>
            </w:pPr>
            <w:r w:rsidRPr="004A7EDA">
              <w:rPr>
                <w:lang w:val="en-GB"/>
              </w:rPr>
              <w:t>Clients engaged in export and trade programs</w:t>
            </w:r>
          </w:p>
        </w:tc>
        <w:tc>
          <w:tcPr>
            <w:tcW w:w="964" w:type="dxa"/>
            <w:shd w:val="clear" w:color="auto" w:fill="auto"/>
            <w:tcMar>
              <w:top w:w="113" w:type="dxa"/>
              <w:left w:w="28" w:type="dxa"/>
              <w:bottom w:w="113" w:type="dxa"/>
              <w:right w:w="28" w:type="dxa"/>
            </w:tcMar>
          </w:tcPr>
          <w:p w14:paraId="0BE7FE30"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E0F2059" w14:textId="77777777" w:rsidR="004A7EDA" w:rsidRPr="004A7EDA" w:rsidRDefault="004A7EDA" w:rsidP="00991083">
            <w:pPr>
              <w:pStyle w:val="TableCopy"/>
              <w:rPr>
                <w:lang w:val="en-GB"/>
              </w:rPr>
            </w:pPr>
            <w:r w:rsidRPr="004A7EDA">
              <w:rPr>
                <w:lang w:val="en-GB"/>
              </w:rPr>
              <w:t>3,171</w:t>
            </w:r>
          </w:p>
        </w:tc>
        <w:tc>
          <w:tcPr>
            <w:tcW w:w="964" w:type="dxa"/>
            <w:shd w:val="clear" w:color="auto" w:fill="auto"/>
            <w:tcMar>
              <w:top w:w="113" w:type="dxa"/>
              <w:left w:w="28" w:type="dxa"/>
              <w:bottom w:w="113" w:type="dxa"/>
              <w:right w:w="28" w:type="dxa"/>
            </w:tcMar>
          </w:tcPr>
          <w:p w14:paraId="0558D6EB" w14:textId="77777777" w:rsidR="004A7EDA" w:rsidRPr="004A7EDA" w:rsidRDefault="004A7EDA" w:rsidP="00991083">
            <w:pPr>
              <w:pStyle w:val="TableCopy"/>
              <w:rPr>
                <w:lang w:val="en-GB"/>
              </w:rPr>
            </w:pPr>
            <w:r w:rsidRPr="004A7EDA">
              <w:rPr>
                <w:lang w:val="en-GB"/>
              </w:rPr>
              <w:t>2,000</w:t>
            </w:r>
          </w:p>
        </w:tc>
        <w:tc>
          <w:tcPr>
            <w:tcW w:w="1304" w:type="dxa"/>
            <w:shd w:val="clear" w:color="auto" w:fill="auto"/>
            <w:tcMar>
              <w:top w:w="113" w:type="dxa"/>
              <w:left w:w="28" w:type="dxa"/>
              <w:bottom w:w="113" w:type="dxa"/>
              <w:right w:w="28" w:type="dxa"/>
            </w:tcMar>
          </w:tcPr>
          <w:p w14:paraId="3C39AE04" w14:textId="77777777" w:rsidR="004A7EDA" w:rsidRPr="004A7EDA" w:rsidRDefault="004A7EDA" w:rsidP="00991083">
            <w:pPr>
              <w:pStyle w:val="TableCopy"/>
              <w:rPr>
                <w:lang w:val="en-GB"/>
              </w:rPr>
            </w:pPr>
            <w:r w:rsidRPr="004A7EDA">
              <w:rPr>
                <w:lang w:val="en-GB"/>
              </w:rPr>
              <w:t>58.6%</w:t>
            </w:r>
          </w:p>
        </w:tc>
        <w:tc>
          <w:tcPr>
            <w:tcW w:w="964" w:type="dxa"/>
            <w:shd w:val="clear" w:color="auto" w:fill="auto"/>
            <w:tcMar>
              <w:top w:w="113" w:type="dxa"/>
              <w:left w:w="28" w:type="dxa"/>
              <w:bottom w:w="113" w:type="dxa"/>
              <w:right w:w="28" w:type="dxa"/>
            </w:tcMar>
          </w:tcPr>
          <w:p w14:paraId="0BD5B595" w14:textId="428CDDED" w:rsidR="004A7EDA" w:rsidRPr="004A7EDA" w:rsidRDefault="00113763" w:rsidP="00991083">
            <w:pPr>
              <w:pStyle w:val="TableCopy"/>
              <w:rPr>
                <w:lang w:val="en-GB"/>
              </w:rPr>
            </w:pPr>
            <w:r>
              <w:rPr>
                <w:lang w:val="en-GB"/>
              </w:rPr>
              <w:t>*</w:t>
            </w:r>
          </w:p>
        </w:tc>
      </w:tr>
      <w:tr w:rsidR="004A7EDA" w:rsidRPr="00C34B9B" w14:paraId="27508352" w14:textId="77777777" w:rsidTr="0082026D">
        <w:trPr>
          <w:trHeight w:val="113"/>
        </w:trPr>
        <w:tc>
          <w:tcPr>
            <w:tcW w:w="9638" w:type="dxa"/>
            <w:gridSpan w:val="6"/>
            <w:shd w:val="clear" w:color="auto" w:fill="auto"/>
            <w:tcMar>
              <w:top w:w="113" w:type="dxa"/>
              <w:left w:w="113" w:type="dxa"/>
              <w:bottom w:w="113" w:type="dxa"/>
              <w:right w:w="113" w:type="dxa"/>
            </w:tcMar>
          </w:tcPr>
          <w:p w14:paraId="49A3ADD4" w14:textId="77777777" w:rsidR="004A7EDA" w:rsidRPr="00C34B9B" w:rsidRDefault="004A7EDA" w:rsidP="00991083">
            <w:pPr>
              <w:pStyle w:val="TableCopy"/>
            </w:pPr>
            <w:r w:rsidRPr="00C34B9B">
              <w:lastRenderedPageBreak/>
              <w:t>Higher result due to stimulus funding from the Export Recovery Program, which enabled an increase in the number of trade engagement activities delivered by Global Victoria. Trade engagement activities have also been delivered digitally, enabling a larger cohort of businesses to participate.</w:t>
            </w:r>
          </w:p>
        </w:tc>
      </w:tr>
      <w:tr w:rsidR="004A7EDA" w:rsidRPr="004A7EDA" w14:paraId="4564FEFE" w14:textId="77777777" w:rsidTr="0082026D">
        <w:trPr>
          <w:trHeight w:val="113"/>
        </w:trPr>
        <w:tc>
          <w:tcPr>
            <w:tcW w:w="4479" w:type="dxa"/>
            <w:shd w:val="clear" w:color="auto" w:fill="auto"/>
            <w:tcMar>
              <w:top w:w="113" w:type="dxa"/>
              <w:left w:w="28" w:type="dxa"/>
              <w:bottom w:w="113" w:type="dxa"/>
              <w:right w:w="28" w:type="dxa"/>
            </w:tcMar>
          </w:tcPr>
          <w:p w14:paraId="56CAAA71" w14:textId="77777777" w:rsidR="004A7EDA" w:rsidRPr="004A7EDA" w:rsidRDefault="004A7EDA" w:rsidP="00991083">
            <w:pPr>
              <w:pStyle w:val="TableCopy"/>
              <w:rPr>
                <w:lang w:val="en-GB"/>
              </w:rPr>
            </w:pPr>
            <w:r w:rsidRPr="004A7EDA">
              <w:rPr>
                <w:lang w:val="en-GB"/>
              </w:rPr>
              <w:t>International delegates participated in the virtual inbound trade mission and key initiatives</w:t>
            </w:r>
          </w:p>
        </w:tc>
        <w:tc>
          <w:tcPr>
            <w:tcW w:w="964" w:type="dxa"/>
            <w:shd w:val="clear" w:color="auto" w:fill="auto"/>
            <w:tcMar>
              <w:top w:w="113" w:type="dxa"/>
              <w:left w:w="28" w:type="dxa"/>
              <w:bottom w:w="113" w:type="dxa"/>
              <w:right w:w="28" w:type="dxa"/>
            </w:tcMar>
          </w:tcPr>
          <w:p w14:paraId="37F9A018"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7E7F99E6" w14:textId="77777777" w:rsidR="004A7EDA" w:rsidRPr="004A7EDA" w:rsidRDefault="004A7EDA" w:rsidP="00991083">
            <w:pPr>
              <w:pStyle w:val="TableCopy"/>
              <w:rPr>
                <w:lang w:val="en-GB"/>
              </w:rPr>
            </w:pPr>
            <w:r w:rsidRPr="004A7EDA">
              <w:rPr>
                <w:lang w:val="en-GB"/>
              </w:rPr>
              <w:t>1,267</w:t>
            </w:r>
          </w:p>
        </w:tc>
        <w:tc>
          <w:tcPr>
            <w:tcW w:w="964" w:type="dxa"/>
            <w:shd w:val="clear" w:color="auto" w:fill="auto"/>
            <w:tcMar>
              <w:top w:w="113" w:type="dxa"/>
              <w:left w:w="28" w:type="dxa"/>
              <w:bottom w:w="113" w:type="dxa"/>
              <w:right w:w="28" w:type="dxa"/>
            </w:tcMar>
          </w:tcPr>
          <w:p w14:paraId="003FFCF4" w14:textId="77777777" w:rsidR="004A7EDA" w:rsidRPr="004A7EDA" w:rsidRDefault="004A7EDA" w:rsidP="00991083">
            <w:pPr>
              <w:pStyle w:val="TableCopy"/>
              <w:rPr>
                <w:lang w:val="en-GB"/>
              </w:rPr>
            </w:pPr>
            <w:r w:rsidRPr="004A7EDA">
              <w:rPr>
                <w:lang w:val="en-GB"/>
              </w:rPr>
              <w:t>1,000</w:t>
            </w:r>
          </w:p>
        </w:tc>
        <w:tc>
          <w:tcPr>
            <w:tcW w:w="1304" w:type="dxa"/>
            <w:shd w:val="clear" w:color="auto" w:fill="auto"/>
            <w:tcMar>
              <w:top w:w="113" w:type="dxa"/>
              <w:left w:w="28" w:type="dxa"/>
              <w:bottom w:w="113" w:type="dxa"/>
              <w:right w:w="28" w:type="dxa"/>
            </w:tcMar>
          </w:tcPr>
          <w:p w14:paraId="31D7BB70" w14:textId="77777777" w:rsidR="004A7EDA" w:rsidRPr="004A7EDA" w:rsidRDefault="004A7EDA" w:rsidP="00991083">
            <w:pPr>
              <w:pStyle w:val="TableCopy"/>
              <w:rPr>
                <w:lang w:val="en-GB"/>
              </w:rPr>
            </w:pPr>
            <w:r w:rsidRPr="004A7EDA">
              <w:rPr>
                <w:lang w:val="en-GB"/>
              </w:rPr>
              <w:t>26.7%</w:t>
            </w:r>
          </w:p>
        </w:tc>
        <w:tc>
          <w:tcPr>
            <w:tcW w:w="964" w:type="dxa"/>
            <w:shd w:val="clear" w:color="auto" w:fill="auto"/>
            <w:tcMar>
              <w:top w:w="113" w:type="dxa"/>
              <w:left w:w="28" w:type="dxa"/>
              <w:bottom w:w="113" w:type="dxa"/>
              <w:right w:w="28" w:type="dxa"/>
            </w:tcMar>
          </w:tcPr>
          <w:p w14:paraId="3C3E8444" w14:textId="4B51FD2C" w:rsidR="004A7EDA" w:rsidRPr="004A7EDA" w:rsidRDefault="00113763" w:rsidP="00991083">
            <w:pPr>
              <w:pStyle w:val="TableCopy"/>
              <w:rPr>
                <w:lang w:val="en-GB"/>
              </w:rPr>
            </w:pPr>
            <w:r>
              <w:rPr>
                <w:lang w:val="en-GB"/>
              </w:rPr>
              <w:t>*</w:t>
            </w:r>
          </w:p>
        </w:tc>
      </w:tr>
      <w:tr w:rsidR="004A7EDA" w:rsidRPr="00C34B9B" w14:paraId="1868825B" w14:textId="77777777" w:rsidTr="0082026D">
        <w:trPr>
          <w:trHeight w:val="113"/>
        </w:trPr>
        <w:tc>
          <w:tcPr>
            <w:tcW w:w="9638" w:type="dxa"/>
            <w:gridSpan w:val="6"/>
            <w:shd w:val="clear" w:color="auto" w:fill="auto"/>
            <w:tcMar>
              <w:top w:w="113" w:type="dxa"/>
              <w:left w:w="113" w:type="dxa"/>
              <w:bottom w:w="113" w:type="dxa"/>
              <w:right w:w="113" w:type="dxa"/>
            </w:tcMar>
          </w:tcPr>
          <w:p w14:paraId="4E972B64" w14:textId="77777777" w:rsidR="004A7EDA" w:rsidRPr="00C34B9B" w:rsidRDefault="004A7EDA" w:rsidP="00991083">
            <w:pPr>
              <w:pStyle w:val="TableCopy"/>
            </w:pPr>
            <w:r w:rsidRPr="00C34B9B">
              <w:t xml:space="preserve">Higher result due to stimulus funding from the Export Recovery Program, which enabled an increase in the number of trade engagement activities delivered by Global Victoria. </w:t>
            </w:r>
          </w:p>
        </w:tc>
      </w:tr>
      <w:tr w:rsidR="004A7EDA" w:rsidRPr="004A7EDA" w14:paraId="3091C8EB" w14:textId="77777777" w:rsidTr="0082026D">
        <w:trPr>
          <w:trHeight w:val="113"/>
        </w:trPr>
        <w:tc>
          <w:tcPr>
            <w:tcW w:w="4479" w:type="dxa"/>
            <w:shd w:val="clear" w:color="auto" w:fill="auto"/>
            <w:tcMar>
              <w:top w:w="113" w:type="dxa"/>
              <w:left w:w="28" w:type="dxa"/>
              <w:bottom w:w="113" w:type="dxa"/>
              <w:right w:w="28" w:type="dxa"/>
            </w:tcMar>
          </w:tcPr>
          <w:p w14:paraId="7C5DAD87" w14:textId="77777777" w:rsidR="004A7EDA" w:rsidRPr="004A7EDA" w:rsidRDefault="004A7EDA" w:rsidP="00991083">
            <w:pPr>
              <w:pStyle w:val="TableCopy"/>
              <w:rPr>
                <w:lang w:val="en-GB"/>
              </w:rPr>
            </w:pPr>
            <w:r w:rsidRPr="004A7EDA">
              <w:rPr>
                <w:lang w:val="en-GB"/>
              </w:rPr>
              <w:t>Number of Victorian companies assisted</w:t>
            </w:r>
            <w:r w:rsidRPr="004A7EDA">
              <w:rPr>
                <w:lang w:val="en-GB"/>
              </w:rPr>
              <w:br/>
              <w:t>by Wine Industry initiatives</w:t>
            </w:r>
          </w:p>
        </w:tc>
        <w:tc>
          <w:tcPr>
            <w:tcW w:w="964" w:type="dxa"/>
            <w:shd w:val="clear" w:color="auto" w:fill="auto"/>
            <w:tcMar>
              <w:top w:w="113" w:type="dxa"/>
              <w:left w:w="28" w:type="dxa"/>
              <w:bottom w:w="113" w:type="dxa"/>
              <w:right w:w="28" w:type="dxa"/>
            </w:tcMar>
          </w:tcPr>
          <w:p w14:paraId="30D71765"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46A94134" w14:textId="77777777" w:rsidR="004A7EDA" w:rsidRPr="004A7EDA" w:rsidRDefault="004A7EDA" w:rsidP="00991083">
            <w:pPr>
              <w:pStyle w:val="TableCopy"/>
              <w:rPr>
                <w:lang w:val="en-GB"/>
              </w:rPr>
            </w:pPr>
            <w:r w:rsidRPr="004A7EDA">
              <w:rPr>
                <w:lang w:val="en-GB"/>
              </w:rPr>
              <w:t>60</w:t>
            </w:r>
          </w:p>
        </w:tc>
        <w:tc>
          <w:tcPr>
            <w:tcW w:w="964" w:type="dxa"/>
            <w:shd w:val="clear" w:color="auto" w:fill="auto"/>
            <w:tcMar>
              <w:top w:w="113" w:type="dxa"/>
              <w:left w:w="28" w:type="dxa"/>
              <w:bottom w:w="113" w:type="dxa"/>
              <w:right w:w="28" w:type="dxa"/>
            </w:tcMar>
          </w:tcPr>
          <w:p w14:paraId="6637349D" w14:textId="77777777" w:rsidR="004A7EDA" w:rsidRPr="004A7EDA" w:rsidRDefault="004A7EDA" w:rsidP="00991083">
            <w:pPr>
              <w:pStyle w:val="TableCopy"/>
              <w:rPr>
                <w:lang w:val="en-GB"/>
              </w:rPr>
            </w:pPr>
            <w:r w:rsidRPr="004A7EDA">
              <w:rPr>
                <w:lang w:val="en-GB"/>
              </w:rPr>
              <w:t>60</w:t>
            </w:r>
          </w:p>
        </w:tc>
        <w:tc>
          <w:tcPr>
            <w:tcW w:w="1304" w:type="dxa"/>
            <w:shd w:val="clear" w:color="auto" w:fill="auto"/>
            <w:tcMar>
              <w:top w:w="113" w:type="dxa"/>
              <w:left w:w="28" w:type="dxa"/>
              <w:bottom w:w="113" w:type="dxa"/>
              <w:right w:w="28" w:type="dxa"/>
            </w:tcMar>
          </w:tcPr>
          <w:p w14:paraId="6EEA6B3C" w14:textId="77777777" w:rsidR="004A7EDA" w:rsidRPr="004A7EDA" w:rsidRDefault="004A7EDA" w:rsidP="0099108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3220D4D5" w14:textId="29079437" w:rsidR="004A7EDA" w:rsidRPr="004A7EDA" w:rsidRDefault="00113763" w:rsidP="00991083">
            <w:pPr>
              <w:pStyle w:val="TableCopy"/>
              <w:rPr>
                <w:lang w:val="en-GB"/>
              </w:rPr>
            </w:pPr>
            <w:r>
              <w:rPr>
                <w:lang w:val="en-GB"/>
              </w:rPr>
              <w:t>*</w:t>
            </w:r>
          </w:p>
        </w:tc>
      </w:tr>
      <w:tr w:rsidR="004A7EDA" w:rsidRPr="004A7EDA" w14:paraId="3ABF434F" w14:textId="77777777" w:rsidTr="0082026D">
        <w:trPr>
          <w:trHeight w:val="113"/>
        </w:trPr>
        <w:tc>
          <w:tcPr>
            <w:tcW w:w="4479" w:type="dxa"/>
            <w:shd w:val="clear" w:color="auto" w:fill="auto"/>
            <w:tcMar>
              <w:top w:w="113" w:type="dxa"/>
              <w:left w:w="28" w:type="dxa"/>
              <w:bottom w:w="113" w:type="dxa"/>
              <w:right w:w="28" w:type="dxa"/>
            </w:tcMar>
          </w:tcPr>
          <w:p w14:paraId="63D5BB88" w14:textId="77777777" w:rsidR="004A7EDA" w:rsidRPr="004A7EDA" w:rsidRDefault="004A7EDA" w:rsidP="00991083">
            <w:pPr>
              <w:pStyle w:val="TableCopy"/>
              <w:rPr>
                <w:lang w:val="en-GB"/>
              </w:rPr>
            </w:pPr>
            <w:r w:rsidRPr="004A7EDA">
              <w:rPr>
                <w:lang w:val="en-GB"/>
              </w:rPr>
              <w:t>Significant interactions with Victorian agri-food companies and exporters, international customers</w:t>
            </w:r>
            <w:r w:rsidRPr="004A7EDA">
              <w:rPr>
                <w:lang w:val="en-GB"/>
              </w:rPr>
              <w:br/>
              <w:t>and trading partners that facilitate export and investment outcomes for Victoria</w:t>
            </w:r>
          </w:p>
        </w:tc>
        <w:tc>
          <w:tcPr>
            <w:tcW w:w="964" w:type="dxa"/>
            <w:shd w:val="clear" w:color="auto" w:fill="auto"/>
            <w:tcMar>
              <w:top w:w="113" w:type="dxa"/>
              <w:left w:w="28" w:type="dxa"/>
              <w:bottom w:w="113" w:type="dxa"/>
              <w:right w:w="28" w:type="dxa"/>
            </w:tcMar>
          </w:tcPr>
          <w:p w14:paraId="19883A48"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1A30A8E3" w14:textId="77777777" w:rsidR="004A7EDA" w:rsidRPr="004A7EDA" w:rsidRDefault="004A7EDA" w:rsidP="00991083">
            <w:pPr>
              <w:pStyle w:val="TableCopy"/>
              <w:rPr>
                <w:lang w:val="en-GB"/>
              </w:rPr>
            </w:pPr>
            <w:r w:rsidRPr="004A7EDA">
              <w:rPr>
                <w:lang w:val="en-GB"/>
              </w:rPr>
              <w:t>258</w:t>
            </w:r>
          </w:p>
        </w:tc>
        <w:tc>
          <w:tcPr>
            <w:tcW w:w="964" w:type="dxa"/>
            <w:shd w:val="clear" w:color="auto" w:fill="auto"/>
            <w:tcMar>
              <w:top w:w="113" w:type="dxa"/>
              <w:left w:w="28" w:type="dxa"/>
              <w:bottom w:w="113" w:type="dxa"/>
              <w:right w:w="28" w:type="dxa"/>
            </w:tcMar>
          </w:tcPr>
          <w:p w14:paraId="57CBBFF1" w14:textId="77777777" w:rsidR="004A7EDA" w:rsidRPr="004A7EDA" w:rsidRDefault="004A7EDA" w:rsidP="00991083">
            <w:pPr>
              <w:pStyle w:val="TableCopy"/>
              <w:rPr>
                <w:lang w:val="en-GB"/>
              </w:rPr>
            </w:pPr>
            <w:r w:rsidRPr="004A7EDA">
              <w:rPr>
                <w:lang w:val="en-GB"/>
              </w:rPr>
              <w:t>250</w:t>
            </w:r>
          </w:p>
        </w:tc>
        <w:tc>
          <w:tcPr>
            <w:tcW w:w="1304" w:type="dxa"/>
            <w:shd w:val="clear" w:color="auto" w:fill="auto"/>
            <w:tcMar>
              <w:top w:w="113" w:type="dxa"/>
              <w:left w:w="28" w:type="dxa"/>
              <w:bottom w:w="113" w:type="dxa"/>
              <w:right w:w="28" w:type="dxa"/>
            </w:tcMar>
          </w:tcPr>
          <w:p w14:paraId="3E8F5239" w14:textId="77777777" w:rsidR="004A7EDA" w:rsidRPr="004A7EDA" w:rsidRDefault="004A7EDA" w:rsidP="00991083">
            <w:pPr>
              <w:pStyle w:val="TableCopy"/>
              <w:rPr>
                <w:lang w:val="en-GB"/>
              </w:rPr>
            </w:pPr>
            <w:r w:rsidRPr="004A7EDA">
              <w:rPr>
                <w:lang w:val="en-GB"/>
              </w:rPr>
              <w:t>3.2%</w:t>
            </w:r>
          </w:p>
        </w:tc>
        <w:tc>
          <w:tcPr>
            <w:tcW w:w="964" w:type="dxa"/>
            <w:shd w:val="clear" w:color="auto" w:fill="auto"/>
            <w:tcMar>
              <w:top w:w="113" w:type="dxa"/>
              <w:left w:w="28" w:type="dxa"/>
              <w:bottom w:w="113" w:type="dxa"/>
              <w:right w:w="28" w:type="dxa"/>
            </w:tcMar>
          </w:tcPr>
          <w:p w14:paraId="1B522E19" w14:textId="24557E77" w:rsidR="004A7EDA" w:rsidRPr="004A7EDA" w:rsidRDefault="00113763" w:rsidP="00991083">
            <w:pPr>
              <w:pStyle w:val="TableCopy"/>
              <w:rPr>
                <w:lang w:val="en-GB"/>
              </w:rPr>
            </w:pPr>
            <w:r>
              <w:rPr>
                <w:lang w:val="en-GB"/>
              </w:rPr>
              <w:t>*</w:t>
            </w:r>
          </w:p>
        </w:tc>
      </w:tr>
      <w:tr w:rsidR="004A7EDA" w:rsidRPr="004A7EDA" w14:paraId="07CB17F7" w14:textId="77777777" w:rsidTr="0082026D">
        <w:trPr>
          <w:trHeight w:val="113"/>
        </w:trPr>
        <w:tc>
          <w:tcPr>
            <w:tcW w:w="4479" w:type="dxa"/>
            <w:shd w:val="clear" w:color="auto" w:fill="auto"/>
            <w:tcMar>
              <w:top w:w="113" w:type="dxa"/>
              <w:left w:w="28" w:type="dxa"/>
              <w:bottom w:w="113" w:type="dxa"/>
              <w:right w:w="28" w:type="dxa"/>
            </w:tcMar>
          </w:tcPr>
          <w:p w14:paraId="5685F973" w14:textId="77777777" w:rsidR="004A7EDA" w:rsidRPr="004A7EDA" w:rsidRDefault="004A7EDA" w:rsidP="00991083">
            <w:pPr>
              <w:pStyle w:val="TableCopy"/>
              <w:rPr>
                <w:lang w:val="en-GB"/>
              </w:rPr>
            </w:pPr>
            <w:r w:rsidRPr="004A7EDA">
              <w:rPr>
                <w:lang w:val="en-GB"/>
              </w:rPr>
              <w:t>Victoria’s proportion of all international student enrolments in Australia</w:t>
            </w:r>
          </w:p>
        </w:tc>
        <w:tc>
          <w:tcPr>
            <w:tcW w:w="964" w:type="dxa"/>
            <w:shd w:val="clear" w:color="auto" w:fill="auto"/>
            <w:tcMar>
              <w:top w:w="113" w:type="dxa"/>
              <w:left w:w="28" w:type="dxa"/>
              <w:bottom w:w="113" w:type="dxa"/>
              <w:right w:w="28" w:type="dxa"/>
            </w:tcMar>
          </w:tcPr>
          <w:p w14:paraId="6CBFA31E"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0EE196C9" w14:textId="77777777" w:rsidR="004A7EDA" w:rsidRPr="004A7EDA" w:rsidRDefault="004A7EDA" w:rsidP="00991083">
            <w:pPr>
              <w:pStyle w:val="TableCopy"/>
              <w:rPr>
                <w:lang w:val="en-GB"/>
              </w:rPr>
            </w:pPr>
            <w:r w:rsidRPr="004A7EDA">
              <w:rPr>
                <w:lang w:val="en-GB"/>
              </w:rPr>
              <w:t>32.2</w:t>
            </w:r>
          </w:p>
        </w:tc>
        <w:tc>
          <w:tcPr>
            <w:tcW w:w="964" w:type="dxa"/>
            <w:shd w:val="clear" w:color="auto" w:fill="auto"/>
            <w:tcMar>
              <w:top w:w="113" w:type="dxa"/>
              <w:left w:w="28" w:type="dxa"/>
              <w:bottom w:w="113" w:type="dxa"/>
              <w:right w:w="28" w:type="dxa"/>
            </w:tcMar>
          </w:tcPr>
          <w:p w14:paraId="7F624B3F" w14:textId="77777777" w:rsidR="004A7EDA" w:rsidRPr="004A7EDA" w:rsidRDefault="004A7EDA" w:rsidP="00991083">
            <w:pPr>
              <w:pStyle w:val="TableCopy"/>
              <w:rPr>
                <w:lang w:val="en-GB"/>
              </w:rPr>
            </w:pPr>
            <w:r w:rsidRPr="004A7EDA">
              <w:rPr>
                <w:lang w:val="en-GB"/>
              </w:rPr>
              <w:t>30</w:t>
            </w:r>
          </w:p>
        </w:tc>
        <w:tc>
          <w:tcPr>
            <w:tcW w:w="1304" w:type="dxa"/>
            <w:shd w:val="clear" w:color="auto" w:fill="auto"/>
            <w:tcMar>
              <w:top w:w="113" w:type="dxa"/>
              <w:left w:w="28" w:type="dxa"/>
              <w:bottom w:w="113" w:type="dxa"/>
              <w:right w:w="28" w:type="dxa"/>
            </w:tcMar>
          </w:tcPr>
          <w:p w14:paraId="78EDB2DC" w14:textId="77777777" w:rsidR="004A7EDA" w:rsidRPr="004A7EDA" w:rsidRDefault="004A7EDA" w:rsidP="00991083">
            <w:pPr>
              <w:pStyle w:val="TableCopy"/>
              <w:rPr>
                <w:lang w:val="en-GB"/>
              </w:rPr>
            </w:pPr>
            <w:r w:rsidRPr="004A7EDA">
              <w:rPr>
                <w:lang w:val="en-GB"/>
              </w:rPr>
              <w:t>7.3%</w:t>
            </w:r>
          </w:p>
        </w:tc>
        <w:tc>
          <w:tcPr>
            <w:tcW w:w="964" w:type="dxa"/>
            <w:shd w:val="clear" w:color="auto" w:fill="auto"/>
            <w:tcMar>
              <w:top w:w="113" w:type="dxa"/>
              <w:left w:w="28" w:type="dxa"/>
              <w:bottom w:w="113" w:type="dxa"/>
              <w:right w:w="28" w:type="dxa"/>
            </w:tcMar>
          </w:tcPr>
          <w:p w14:paraId="51F38F3E" w14:textId="1B29F163" w:rsidR="004A7EDA" w:rsidRPr="004A7EDA" w:rsidRDefault="00113763" w:rsidP="00991083">
            <w:pPr>
              <w:pStyle w:val="TableCopy"/>
              <w:rPr>
                <w:lang w:val="en-GB"/>
              </w:rPr>
            </w:pPr>
            <w:r>
              <w:rPr>
                <w:lang w:val="en-GB"/>
              </w:rPr>
              <w:t>*</w:t>
            </w:r>
          </w:p>
        </w:tc>
      </w:tr>
      <w:tr w:rsidR="004A7EDA" w:rsidRPr="00C34B9B" w14:paraId="161FDD06" w14:textId="77777777" w:rsidTr="0082026D">
        <w:trPr>
          <w:trHeight w:val="113"/>
        </w:trPr>
        <w:tc>
          <w:tcPr>
            <w:tcW w:w="9638" w:type="dxa"/>
            <w:gridSpan w:val="6"/>
            <w:shd w:val="clear" w:color="auto" w:fill="auto"/>
            <w:tcMar>
              <w:top w:w="113" w:type="dxa"/>
              <w:left w:w="113" w:type="dxa"/>
              <w:bottom w:w="113" w:type="dxa"/>
              <w:right w:w="113" w:type="dxa"/>
            </w:tcMar>
          </w:tcPr>
          <w:p w14:paraId="15631B6D" w14:textId="77777777" w:rsidR="004A7EDA" w:rsidRPr="00C34B9B" w:rsidRDefault="004A7EDA" w:rsidP="00991083">
            <w:pPr>
              <w:pStyle w:val="TableCopy"/>
            </w:pPr>
            <w:r w:rsidRPr="00C34B9B">
              <w:t>Higher result due to Victoria maintaining its national market share from previous years (which saw significant growth from South Asian markets), with closed international borders broadly impacting states and territories equally. Calendar year 2020 is the latest nationwide full year data available for 2020–21.</w:t>
            </w:r>
          </w:p>
        </w:tc>
      </w:tr>
      <w:tr w:rsidR="004A7EDA" w:rsidRPr="004A7EDA" w14:paraId="5B0BC2C7" w14:textId="77777777" w:rsidTr="0082026D">
        <w:trPr>
          <w:trHeight w:val="113"/>
        </w:trPr>
        <w:tc>
          <w:tcPr>
            <w:tcW w:w="4479" w:type="dxa"/>
            <w:shd w:val="clear" w:color="auto" w:fill="auto"/>
            <w:tcMar>
              <w:top w:w="113" w:type="dxa"/>
              <w:left w:w="28" w:type="dxa"/>
              <w:bottom w:w="113" w:type="dxa"/>
              <w:right w:w="28" w:type="dxa"/>
            </w:tcMar>
          </w:tcPr>
          <w:p w14:paraId="5F6EDA09" w14:textId="77777777" w:rsidR="004A7EDA" w:rsidRPr="004A7EDA" w:rsidRDefault="004A7EDA" w:rsidP="00991083">
            <w:pPr>
              <w:pStyle w:val="TableCopy"/>
              <w:rPr>
                <w:lang w:val="en-GB"/>
              </w:rPr>
            </w:pPr>
            <w:r w:rsidRPr="004A7EDA">
              <w:rPr>
                <w:lang w:val="en-GB"/>
              </w:rPr>
              <w:t>Visits to the Global Victoria website</w:t>
            </w:r>
          </w:p>
        </w:tc>
        <w:tc>
          <w:tcPr>
            <w:tcW w:w="964" w:type="dxa"/>
            <w:shd w:val="clear" w:color="auto" w:fill="auto"/>
            <w:tcMar>
              <w:top w:w="113" w:type="dxa"/>
              <w:left w:w="28" w:type="dxa"/>
              <w:bottom w:w="113" w:type="dxa"/>
              <w:right w:w="28" w:type="dxa"/>
            </w:tcMar>
          </w:tcPr>
          <w:p w14:paraId="3AAF8794" w14:textId="77777777" w:rsidR="004A7EDA" w:rsidRPr="004A7EDA" w:rsidRDefault="004A7EDA" w:rsidP="0099108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7AF0F95A" w14:textId="77777777" w:rsidR="004A7EDA" w:rsidRPr="004A7EDA" w:rsidRDefault="004A7EDA" w:rsidP="00991083">
            <w:pPr>
              <w:pStyle w:val="TableCopy"/>
              <w:rPr>
                <w:lang w:val="en-GB"/>
              </w:rPr>
            </w:pPr>
            <w:r w:rsidRPr="004A7EDA">
              <w:rPr>
                <w:lang w:val="en-GB"/>
              </w:rPr>
              <w:t>208,039</w:t>
            </w:r>
          </w:p>
        </w:tc>
        <w:tc>
          <w:tcPr>
            <w:tcW w:w="964" w:type="dxa"/>
            <w:shd w:val="clear" w:color="auto" w:fill="auto"/>
            <w:tcMar>
              <w:top w:w="113" w:type="dxa"/>
              <w:left w:w="28" w:type="dxa"/>
              <w:bottom w:w="113" w:type="dxa"/>
              <w:right w:w="28" w:type="dxa"/>
            </w:tcMar>
          </w:tcPr>
          <w:p w14:paraId="099AE191" w14:textId="77777777" w:rsidR="004A7EDA" w:rsidRPr="004A7EDA" w:rsidRDefault="004A7EDA" w:rsidP="00991083">
            <w:pPr>
              <w:pStyle w:val="TableCopy"/>
              <w:rPr>
                <w:lang w:val="en-GB"/>
              </w:rPr>
            </w:pPr>
            <w:r w:rsidRPr="004A7EDA">
              <w:rPr>
                <w:lang w:val="en-GB"/>
              </w:rPr>
              <w:t>100,000</w:t>
            </w:r>
          </w:p>
        </w:tc>
        <w:tc>
          <w:tcPr>
            <w:tcW w:w="1304" w:type="dxa"/>
            <w:shd w:val="clear" w:color="auto" w:fill="auto"/>
            <w:tcMar>
              <w:top w:w="113" w:type="dxa"/>
              <w:left w:w="28" w:type="dxa"/>
              <w:bottom w:w="113" w:type="dxa"/>
              <w:right w:w="28" w:type="dxa"/>
            </w:tcMar>
          </w:tcPr>
          <w:p w14:paraId="15CC327F" w14:textId="77777777" w:rsidR="004A7EDA" w:rsidRPr="004A7EDA" w:rsidRDefault="004A7EDA" w:rsidP="00991083">
            <w:pPr>
              <w:pStyle w:val="TableCopy"/>
              <w:rPr>
                <w:lang w:val="en-GB"/>
              </w:rPr>
            </w:pPr>
            <w:r w:rsidRPr="004A7EDA">
              <w:rPr>
                <w:lang w:val="en-GB"/>
              </w:rPr>
              <w:t>108.0%</w:t>
            </w:r>
          </w:p>
        </w:tc>
        <w:tc>
          <w:tcPr>
            <w:tcW w:w="964" w:type="dxa"/>
            <w:shd w:val="clear" w:color="auto" w:fill="auto"/>
            <w:tcMar>
              <w:top w:w="113" w:type="dxa"/>
              <w:left w:w="28" w:type="dxa"/>
              <w:bottom w:w="113" w:type="dxa"/>
              <w:right w:w="28" w:type="dxa"/>
            </w:tcMar>
          </w:tcPr>
          <w:p w14:paraId="55B9FC2A" w14:textId="36461AF5" w:rsidR="004A7EDA" w:rsidRPr="004A7EDA" w:rsidRDefault="00113763" w:rsidP="00991083">
            <w:pPr>
              <w:pStyle w:val="TableCopy"/>
              <w:rPr>
                <w:lang w:val="en-GB"/>
              </w:rPr>
            </w:pPr>
            <w:r>
              <w:rPr>
                <w:lang w:val="en-GB"/>
              </w:rPr>
              <w:t>*</w:t>
            </w:r>
          </w:p>
        </w:tc>
      </w:tr>
      <w:tr w:rsidR="004A7EDA" w:rsidRPr="00C34B9B" w14:paraId="3B52ACB3" w14:textId="77777777" w:rsidTr="0082026D">
        <w:trPr>
          <w:trHeight w:val="113"/>
        </w:trPr>
        <w:tc>
          <w:tcPr>
            <w:tcW w:w="9638" w:type="dxa"/>
            <w:gridSpan w:val="6"/>
            <w:shd w:val="clear" w:color="auto" w:fill="auto"/>
            <w:tcMar>
              <w:top w:w="113" w:type="dxa"/>
              <w:left w:w="113" w:type="dxa"/>
              <w:bottom w:w="113" w:type="dxa"/>
              <w:right w:w="113" w:type="dxa"/>
            </w:tcMar>
          </w:tcPr>
          <w:p w14:paraId="6D3C3F3B" w14:textId="5920F962" w:rsidR="004A7EDA" w:rsidRPr="00C34B9B" w:rsidRDefault="004A7EDA" w:rsidP="00991083">
            <w:pPr>
              <w:pStyle w:val="TableCopy"/>
            </w:pPr>
            <w:r w:rsidRPr="00C34B9B">
              <w:t>Higher result due to stimulus funding from the Export Recovery Program, which enabled an increase in the number of trade engagement activities delivered by Global Victoria. Trade engagement activities have also been delivered digitally, enabling a larger cohort</w:t>
            </w:r>
            <w:r w:rsidR="00113763" w:rsidRPr="00C34B9B">
              <w:t xml:space="preserve"> </w:t>
            </w:r>
            <w:r w:rsidRPr="00C34B9B">
              <w:t>of businesses to participate. Significant interest in export stimulus funding and initiatives has resulted in a significantly higher visitation</w:t>
            </w:r>
            <w:r w:rsidR="00113763" w:rsidRPr="00C34B9B">
              <w:t xml:space="preserve"> </w:t>
            </w:r>
            <w:r w:rsidRPr="00C34B9B">
              <w:t>to the Global Victoria website.</w:t>
            </w:r>
          </w:p>
        </w:tc>
      </w:tr>
      <w:tr w:rsidR="004A7EDA" w:rsidRPr="00C34B9B" w14:paraId="4D0A5E10" w14:textId="77777777" w:rsidTr="0082026D">
        <w:trPr>
          <w:trHeight w:val="113"/>
        </w:trPr>
        <w:tc>
          <w:tcPr>
            <w:tcW w:w="9638" w:type="dxa"/>
            <w:gridSpan w:val="6"/>
            <w:shd w:val="clear" w:color="auto" w:fill="auto"/>
            <w:tcMar>
              <w:top w:w="113" w:type="dxa"/>
              <w:left w:w="28" w:type="dxa"/>
              <w:bottom w:w="113" w:type="dxa"/>
              <w:right w:w="28" w:type="dxa"/>
            </w:tcMar>
          </w:tcPr>
          <w:p w14:paraId="6DB82904" w14:textId="77777777" w:rsidR="004A7EDA" w:rsidRPr="00C34B9B" w:rsidRDefault="004A7EDA" w:rsidP="00991083">
            <w:pPr>
              <w:pStyle w:val="TableCopy"/>
            </w:pPr>
            <w:r w:rsidRPr="00C34B9B">
              <w:t>Quality</w:t>
            </w:r>
          </w:p>
        </w:tc>
      </w:tr>
      <w:tr w:rsidR="004A7EDA" w:rsidRPr="004A7EDA" w14:paraId="1C8BE3D8" w14:textId="77777777" w:rsidTr="0082026D">
        <w:trPr>
          <w:trHeight w:val="113"/>
        </w:trPr>
        <w:tc>
          <w:tcPr>
            <w:tcW w:w="4479" w:type="dxa"/>
            <w:shd w:val="clear" w:color="auto" w:fill="auto"/>
            <w:tcMar>
              <w:top w:w="113" w:type="dxa"/>
              <w:left w:w="28" w:type="dxa"/>
              <w:bottom w:w="113" w:type="dxa"/>
              <w:right w:w="28" w:type="dxa"/>
            </w:tcMar>
          </w:tcPr>
          <w:p w14:paraId="21C75CF6" w14:textId="77777777" w:rsidR="004A7EDA" w:rsidRPr="004A7EDA" w:rsidRDefault="004A7EDA" w:rsidP="00991083">
            <w:pPr>
              <w:pStyle w:val="TableCopy"/>
              <w:rPr>
                <w:lang w:val="en-GB"/>
              </w:rPr>
            </w:pPr>
            <w:r w:rsidRPr="004A7EDA">
              <w:rPr>
                <w:lang w:val="en-GB"/>
              </w:rPr>
              <w:t>Client satisfaction with export assistance offered</w:t>
            </w:r>
          </w:p>
        </w:tc>
        <w:tc>
          <w:tcPr>
            <w:tcW w:w="964" w:type="dxa"/>
            <w:shd w:val="clear" w:color="auto" w:fill="auto"/>
            <w:tcMar>
              <w:top w:w="113" w:type="dxa"/>
              <w:left w:w="28" w:type="dxa"/>
              <w:bottom w:w="113" w:type="dxa"/>
              <w:right w:w="28" w:type="dxa"/>
            </w:tcMar>
          </w:tcPr>
          <w:p w14:paraId="78461857" w14:textId="77777777" w:rsidR="004A7EDA" w:rsidRPr="004A7EDA" w:rsidRDefault="004A7EDA" w:rsidP="0099108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3420ACAE" w14:textId="77777777" w:rsidR="004A7EDA" w:rsidRPr="004A7EDA" w:rsidRDefault="004A7EDA" w:rsidP="00991083">
            <w:pPr>
              <w:pStyle w:val="TableCopy"/>
              <w:rPr>
                <w:lang w:val="en-GB"/>
              </w:rPr>
            </w:pPr>
            <w:r w:rsidRPr="004A7EDA">
              <w:rPr>
                <w:lang w:val="en-GB"/>
              </w:rPr>
              <w:t>90</w:t>
            </w:r>
          </w:p>
        </w:tc>
        <w:tc>
          <w:tcPr>
            <w:tcW w:w="964" w:type="dxa"/>
            <w:shd w:val="clear" w:color="auto" w:fill="auto"/>
            <w:tcMar>
              <w:top w:w="113" w:type="dxa"/>
              <w:left w:w="28" w:type="dxa"/>
              <w:bottom w:w="113" w:type="dxa"/>
              <w:right w:w="28" w:type="dxa"/>
            </w:tcMar>
          </w:tcPr>
          <w:p w14:paraId="648D586A" w14:textId="77777777" w:rsidR="004A7EDA" w:rsidRPr="004A7EDA" w:rsidRDefault="004A7EDA" w:rsidP="0099108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1D85C61B" w14:textId="77777777" w:rsidR="004A7EDA" w:rsidRPr="004A7EDA" w:rsidRDefault="004A7EDA" w:rsidP="0099108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300DCD5B" w14:textId="43821DBA" w:rsidR="004A7EDA" w:rsidRPr="004A7EDA" w:rsidRDefault="00113763" w:rsidP="00991083">
            <w:pPr>
              <w:pStyle w:val="TableCopy"/>
              <w:rPr>
                <w:lang w:val="en-GB"/>
              </w:rPr>
            </w:pPr>
            <w:r>
              <w:rPr>
                <w:lang w:val="en-GB"/>
              </w:rPr>
              <w:t>*</w:t>
            </w:r>
          </w:p>
        </w:tc>
      </w:tr>
      <w:tr w:rsidR="004A7EDA" w:rsidRPr="00C34B9B" w14:paraId="3893BCD0" w14:textId="77777777" w:rsidTr="0082026D">
        <w:trPr>
          <w:trHeight w:val="113"/>
        </w:trPr>
        <w:tc>
          <w:tcPr>
            <w:tcW w:w="9638" w:type="dxa"/>
            <w:gridSpan w:val="6"/>
            <w:shd w:val="clear" w:color="auto" w:fill="auto"/>
            <w:tcMar>
              <w:top w:w="113" w:type="dxa"/>
              <w:left w:w="28" w:type="dxa"/>
              <w:bottom w:w="113" w:type="dxa"/>
              <w:right w:w="28" w:type="dxa"/>
            </w:tcMar>
          </w:tcPr>
          <w:p w14:paraId="3DB08965" w14:textId="77777777" w:rsidR="004A7EDA" w:rsidRPr="00C34B9B" w:rsidRDefault="004A7EDA" w:rsidP="00991083">
            <w:pPr>
              <w:pStyle w:val="TableCopy"/>
            </w:pPr>
            <w:r w:rsidRPr="00C34B9B">
              <w:t>Cost</w:t>
            </w:r>
          </w:p>
        </w:tc>
      </w:tr>
      <w:tr w:rsidR="004A7EDA" w:rsidRPr="004A7EDA" w14:paraId="29EC7769" w14:textId="77777777" w:rsidTr="0082026D">
        <w:trPr>
          <w:trHeight w:val="113"/>
        </w:trPr>
        <w:tc>
          <w:tcPr>
            <w:tcW w:w="4479" w:type="dxa"/>
            <w:shd w:val="clear" w:color="auto" w:fill="auto"/>
            <w:tcMar>
              <w:top w:w="113" w:type="dxa"/>
              <w:left w:w="28" w:type="dxa"/>
              <w:bottom w:w="113" w:type="dxa"/>
              <w:right w:w="28" w:type="dxa"/>
            </w:tcMar>
          </w:tcPr>
          <w:p w14:paraId="16BF383A" w14:textId="77777777" w:rsidR="004A7EDA" w:rsidRPr="004A7EDA" w:rsidRDefault="004A7EDA" w:rsidP="00991083">
            <w:pPr>
              <w:pStyle w:val="TableCopy"/>
              <w:rPr>
                <w:lang w:val="en-GB"/>
              </w:rPr>
            </w:pPr>
            <w:r w:rsidRPr="004A7EDA">
              <w:rPr>
                <w:lang w:val="en-GB"/>
              </w:rPr>
              <w:t>Total output cost</w:t>
            </w:r>
          </w:p>
        </w:tc>
        <w:tc>
          <w:tcPr>
            <w:tcW w:w="964" w:type="dxa"/>
            <w:shd w:val="clear" w:color="auto" w:fill="auto"/>
            <w:tcMar>
              <w:top w:w="113" w:type="dxa"/>
              <w:left w:w="28" w:type="dxa"/>
              <w:bottom w:w="113" w:type="dxa"/>
              <w:right w:w="28" w:type="dxa"/>
            </w:tcMar>
          </w:tcPr>
          <w:p w14:paraId="40DCD98B" w14:textId="77777777" w:rsidR="004A7EDA" w:rsidRPr="004A7EDA" w:rsidRDefault="004A7EDA" w:rsidP="0099108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7392867B" w14:textId="77777777" w:rsidR="004A7EDA" w:rsidRPr="004A7EDA" w:rsidRDefault="004A7EDA" w:rsidP="00991083">
            <w:pPr>
              <w:pStyle w:val="TableCopy"/>
              <w:rPr>
                <w:lang w:val="en-GB"/>
              </w:rPr>
            </w:pPr>
            <w:r w:rsidRPr="004A7EDA">
              <w:rPr>
                <w:lang w:val="en-GB"/>
              </w:rPr>
              <w:t>99.6</w:t>
            </w:r>
          </w:p>
        </w:tc>
        <w:tc>
          <w:tcPr>
            <w:tcW w:w="964" w:type="dxa"/>
            <w:shd w:val="clear" w:color="auto" w:fill="auto"/>
            <w:tcMar>
              <w:top w:w="113" w:type="dxa"/>
              <w:left w:w="28" w:type="dxa"/>
              <w:bottom w:w="113" w:type="dxa"/>
              <w:right w:w="28" w:type="dxa"/>
            </w:tcMar>
          </w:tcPr>
          <w:p w14:paraId="573E067B" w14:textId="77777777" w:rsidR="004A7EDA" w:rsidRPr="004A7EDA" w:rsidRDefault="004A7EDA" w:rsidP="00991083">
            <w:pPr>
              <w:pStyle w:val="TableCopy"/>
              <w:rPr>
                <w:lang w:val="en-GB"/>
              </w:rPr>
            </w:pPr>
            <w:r w:rsidRPr="004A7EDA">
              <w:rPr>
                <w:lang w:val="en-GB"/>
              </w:rPr>
              <w:t>106.1</w:t>
            </w:r>
          </w:p>
        </w:tc>
        <w:tc>
          <w:tcPr>
            <w:tcW w:w="1304" w:type="dxa"/>
            <w:shd w:val="clear" w:color="auto" w:fill="auto"/>
            <w:tcMar>
              <w:top w:w="113" w:type="dxa"/>
              <w:left w:w="28" w:type="dxa"/>
              <w:bottom w:w="113" w:type="dxa"/>
              <w:right w:w="28" w:type="dxa"/>
            </w:tcMar>
          </w:tcPr>
          <w:p w14:paraId="018B88CF" w14:textId="77777777" w:rsidR="004A7EDA" w:rsidRPr="004A7EDA" w:rsidRDefault="004A7EDA" w:rsidP="00991083">
            <w:pPr>
              <w:pStyle w:val="TableCopy"/>
              <w:rPr>
                <w:lang w:val="en-GB"/>
              </w:rPr>
            </w:pPr>
            <w:r w:rsidRPr="004A7EDA">
              <w:rPr>
                <w:lang w:val="en-GB"/>
              </w:rPr>
              <w:t>-6.1%</w:t>
            </w:r>
          </w:p>
        </w:tc>
        <w:tc>
          <w:tcPr>
            <w:tcW w:w="964" w:type="dxa"/>
            <w:shd w:val="clear" w:color="auto" w:fill="auto"/>
            <w:tcMar>
              <w:top w:w="113" w:type="dxa"/>
              <w:left w:w="28" w:type="dxa"/>
              <w:bottom w:w="113" w:type="dxa"/>
              <w:right w:w="28" w:type="dxa"/>
            </w:tcMar>
          </w:tcPr>
          <w:p w14:paraId="610C24CB" w14:textId="5CED94B4" w:rsidR="004A7EDA" w:rsidRPr="004A7EDA" w:rsidRDefault="00113763" w:rsidP="00991083">
            <w:pPr>
              <w:pStyle w:val="TableCopy"/>
              <w:rPr>
                <w:lang w:val="en-GB"/>
              </w:rPr>
            </w:pPr>
            <w:r>
              <w:rPr>
                <w:lang w:val="en-GB"/>
              </w:rPr>
              <w:t>*</w:t>
            </w:r>
          </w:p>
        </w:tc>
      </w:tr>
      <w:tr w:rsidR="004A7EDA" w:rsidRPr="00C34B9B" w14:paraId="76A50E57" w14:textId="77777777" w:rsidTr="0082026D">
        <w:trPr>
          <w:trHeight w:val="113"/>
        </w:trPr>
        <w:tc>
          <w:tcPr>
            <w:tcW w:w="9638" w:type="dxa"/>
            <w:gridSpan w:val="6"/>
            <w:shd w:val="clear" w:color="auto" w:fill="auto"/>
            <w:tcMar>
              <w:top w:w="113" w:type="dxa"/>
              <w:left w:w="113" w:type="dxa"/>
              <w:bottom w:w="113" w:type="dxa"/>
              <w:right w:w="113" w:type="dxa"/>
            </w:tcMar>
          </w:tcPr>
          <w:p w14:paraId="6FADB927" w14:textId="77777777" w:rsidR="004A7EDA" w:rsidRPr="00C34B9B" w:rsidRDefault="004A7EDA" w:rsidP="00991083">
            <w:pPr>
              <w:pStyle w:val="TableCopy"/>
            </w:pPr>
            <w:r w:rsidRPr="00C34B9B">
              <w:t>The 2020–21 result was lower than the 2020–21 budget mainly due to lower expenditure on International Education and Trade programs due to COVID-19.</w:t>
            </w:r>
          </w:p>
        </w:tc>
      </w:tr>
    </w:tbl>
    <w:p w14:paraId="3E08A8F6" w14:textId="0D59C5DC" w:rsidR="004A7EDA" w:rsidRPr="004A7EDA" w:rsidRDefault="00991083" w:rsidP="004A7EDA">
      <w:pPr>
        <w:rPr>
          <w:lang w:val="en-GB"/>
        </w:rPr>
      </w:pPr>
      <w:r w:rsidRPr="00C34B9B">
        <w:t>Note:</w:t>
      </w:r>
      <w:r w:rsidRPr="00C34B9B">
        <w:t> </w:t>
      </w:r>
      <w:r w:rsidRPr="00C34B9B">
        <w:br/>
        <w:t>* Performance target achieved or exceeded</w:t>
      </w:r>
      <w:r w:rsidRPr="00C34B9B">
        <w:br/>
        <w:t>– Performance target not achieved – within 5 per cent variance</w:t>
      </w:r>
      <w:r w:rsidRPr="00C34B9B">
        <w:br/>
        <w:t># Performance target not achieved – exceeds 5 per cent variance</w:t>
      </w:r>
    </w:p>
    <w:p w14:paraId="49D81FE6" w14:textId="2D83E12A" w:rsidR="004A7EDA" w:rsidRPr="004A7EDA" w:rsidRDefault="004A7EDA" w:rsidP="0042727B">
      <w:pPr>
        <w:pStyle w:val="Heading1"/>
        <w:rPr>
          <w:lang w:val="en-GB"/>
        </w:rPr>
      </w:pPr>
      <w:bookmarkStart w:id="12" w:name="_Toc87011073"/>
      <w:r w:rsidRPr="004A7EDA">
        <w:rPr>
          <w:lang w:val="en-GB"/>
        </w:rPr>
        <w:t>Objective 4: Build prosperous</w:t>
      </w:r>
      <w:r w:rsidR="00113763">
        <w:rPr>
          <w:lang w:val="en-GB"/>
        </w:rPr>
        <w:t xml:space="preserve"> </w:t>
      </w:r>
      <w:r w:rsidRPr="004A7EDA">
        <w:rPr>
          <w:lang w:val="en-GB"/>
        </w:rPr>
        <w:t xml:space="preserve">and liveable </w:t>
      </w:r>
      <w:r w:rsidRPr="0042727B">
        <w:t>regions</w:t>
      </w:r>
      <w:r w:rsidRPr="004A7EDA">
        <w:rPr>
          <w:lang w:val="en-GB"/>
        </w:rPr>
        <w:t xml:space="preserve"> and precincts</w:t>
      </w:r>
      <w:bookmarkEnd w:id="12"/>
    </w:p>
    <w:p w14:paraId="034CA21C" w14:textId="77777777" w:rsidR="004A7EDA" w:rsidRPr="004A7EDA" w:rsidRDefault="004A7EDA" w:rsidP="004A7EDA">
      <w:pPr>
        <w:rPr>
          <w:lang w:val="en-GB"/>
        </w:rPr>
      </w:pPr>
      <w:r w:rsidRPr="004A7EDA">
        <w:rPr>
          <w:lang w:val="en-GB"/>
        </w:rPr>
        <w:t xml:space="preserve">This objective seeks to ensure that Victoria’s precincts, </w:t>
      </w:r>
      <w:proofErr w:type="gramStart"/>
      <w:r w:rsidRPr="004A7EDA">
        <w:rPr>
          <w:lang w:val="en-GB"/>
        </w:rPr>
        <w:t>suburbs</w:t>
      </w:r>
      <w:proofErr w:type="gramEnd"/>
      <w:r w:rsidRPr="004A7EDA">
        <w:rPr>
          <w:lang w:val="en-GB"/>
        </w:rPr>
        <w:t xml:space="preserve"> and regions are developed to create places where all Victorians have an opportunity to participate in communities that are well-connected, prosperous, vibrant and diverse. </w:t>
      </w:r>
    </w:p>
    <w:p w14:paraId="2DF3C0B3" w14:textId="4045B51A" w:rsidR="004A7EDA" w:rsidRPr="004A7EDA" w:rsidRDefault="004A7EDA" w:rsidP="00113763">
      <w:pPr>
        <w:pStyle w:val="Heading3"/>
        <w:rPr>
          <w:lang w:val="en-GB"/>
        </w:rPr>
      </w:pPr>
      <w:bookmarkStart w:id="13" w:name="_Toc87011074"/>
      <w:r w:rsidRPr="004A7EDA">
        <w:rPr>
          <w:lang w:val="en-GB"/>
        </w:rPr>
        <w:t>Progress towards achieving</w:t>
      </w:r>
      <w:r w:rsidR="00113763">
        <w:rPr>
          <w:lang w:val="en-GB"/>
        </w:rPr>
        <w:t xml:space="preserve"> </w:t>
      </w:r>
      <w:r w:rsidRPr="004A7EDA">
        <w:rPr>
          <w:lang w:val="en-GB"/>
        </w:rPr>
        <w:t>this objective</w:t>
      </w:r>
      <w:bookmarkEnd w:id="13"/>
    </w:p>
    <w:p w14:paraId="7B34532A" w14:textId="77777777" w:rsidR="004A7EDA" w:rsidRPr="004A7EDA" w:rsidRDefault="004A7EDA" w:rsidP="004A7EDA">
      <w:pPr>
        <w:rPr>
          <w:lang w:val="en-GB"/>
        </w:rPr>
      </w:pPr>
      <w:r w:rsidRPr="004A7EDA">
        <w:rPr>
          <w:lang w:val="en-GB"/>
        </w:rPr>
        <w:t>In 2020–21, the department reported progress against this objective using the following objective indicators and outputs:</w:t>
      </w:r>
    </w:p>
    <w:p w14:paraId="216775AF" w14:textId="77777777" w:rsidR="004A7EDA" w:rsidRPr="00113763" w:rsidRDefault="004A7EDA" w:rsidP="00113763">
      <w:pPr>
        <w:pStyle w:val="Heading4"/>
      </w:pPr>
      <w:r w:rsidRPr="004A7EDA">
        <w:rPr>
          <w:lang w:val="en-GB"/>
        </w:rPr>
        <w:lastRenderedPageBreak/>
        <w:t xml:space="preserve">Objective </w:t>
      </w:r>
      <w:r w:rsidRPr="00113763">
        <w:t>Indicators</w:t>
      </w:r>
    </w:p>
    <w:p w14:paraId="191A8521" w14:textId="77777777" w:rsidR="004A7EDA" w:rsidRPr="00113763" w:rsidRDefault="004A7EDA" w:rsidP="00113763">
      <w:pPr>
        <w:pStyle w:val="Bullet"/>
      </w:pPr>
      <w:r w:rsidRPr="004A7EDA">
        <w:rPr>
          <w:lang w:val="en-GB"/>
        </w:rPr>
        <w:t xml:space="preserve">Precincts </w:t>
      </w:r>
      <w:r w:rsidRPr="00113763">
        <w:t>developed and delivered</w:t>
      </w:r>
    </w:p>
    <w:p w14:paraId="29721290" w14:textId="77777777" w:rsidR="004A7EDA" w:rsidRPr="00113763" w:rsidRDefault="004A7EDA" w:rsidP="00113763">
      <w:pPr>
        <w:pStyle w:val="Bullet"/>
      </w:pPr>
      <w:r w:rsidRPr="00113763">
        <w:t>Community satisfaction in public places</w:t>
      </w:r>
    </w:p>
    <w:p w14:paraId="183EF468" w14:textId="77777777" w:rsidR="004A7EDA" w:rsidRPr="004A7EDA" w:rsidRDefault="004A7EDA" w:rsidP="00113763">
      <w:pPr>
        <w:pStyle w:val="Bullet"/>
        <w:rPr>
          <w:lang w:val="en-GB"/>
        </w:rPr>
      </w:pPr>
      <w:r w:rsidRPr="00113763">
        <w:t>Community satisfaction</w:t>
      </w:r>
      <w:r w:rsidRPr="004A7EDA">
        <w:rPr>
          <w:lang w:val="en-GB"/>
        </w:rPr>
        <w:t xml:space="preserve"> with the performance of councils as measured through the Local Government Community Satisfaction Survey</w:t>
      </w:r>
    </w:p>
    <w:p w14:paraId="4233084E" w14:textId="77777777" w:rsidR="004A7EDA" w:rsidRPr="004A7EDA" w:rsidRDefault="004A7EDA" w:rsidP="00113763">
      <w:pPr>
        <w:pStyle w:val="Heading4"/>
        <w:rPr>
          <w:lang w:val="en-GB"/>
        </w:rPr>
      </w:pPr>
      <w:r w:rsidRPr="004A7EDA">
        <w:rPr>
          <w:lang w:val="en-GB"/>
        </w:rPr>
        <w:t>Outputs</w:t>
      </w:r>
    </w:p>
    <w:p w14:paraId="3AD27FF6" w14:textId="77777777" w:rsidR="004A7EDA" w:rsidRPr="004A7EDA" w:rsidRDefault="004A7EDA" w:rsidP="00113763">
      <w:pPr>
        <w:pStyle w:val="Bullet"/>
        <w:rPr>
          <w:lang w:val="en-GB"/>
        </w:rPr>
      </w:pPr>
      <w:r w:rsidRPr="004A7EDA">
        <w:rPr>
          <w:lang w:val="en-GB"/>
        </w:rPr>
        <w:t>Business Precincts</w:t>
      </w:r>
    </w:p>
    <w:p w14:paraId="3883E239" w14:textId="77777777" w:rsidR="004A7EDA" w:rsidRPr="004A7EDA" w:rsidRDefault="004A7EDA" w:rsidP="00113763">
      <w:pPr>
        <w:pStyle w:val="Bullet"/>
        <w:rPr>
          <w:lang w:val="en-GB"/>
        </w:rPr>
      </w:pPr>
      <w:r w:rsidRPr="004A7EDA">
        <w:rPr>
          <w:lang w:val="en-GB"/>
        </w:rPr>
        <w:t>Local Government and Suburban Development</w:t>
      </w:r>
    </w:p>
    <w:p w14:paraId="7B6D43C9" w14:textId="4EB87891" w:rsidR="004A7EDA" w:rsidRPr="00991083" w:rsidRDefault="004A7EDA" w:rsidP="004A7EDA">
      <w:pPr>
        <w:pStyle w:val="Bullet"/>
        <w:rPr>
          <w:lang w:val="en-GB"/>
        </w:rPr>
      </w:pPr>
      <w:r w:rsidRPr="004A7EDA">
        <w:rPr>
          <w:lang w:val="en-GB"/>
        </w:rPr>
        <w:t>Regional Development</w:t>
      </w:r>
    </w:p>
    <w:p w14:paraId="29CE6C55" w14:textId="627C1DDE" w:rsidR="004A7EDA" w:rsidRPr="004A7EDA" w:rsidRDefault="004A7EDA" w:rsidP="00113763">
      <w:pPr>
        <w:pStyle w:val="Heading4"/>
        <w:rPr>
          <w:lang w:val="en-GB"/>
        </w:rPr>
      </w:pPr>
      <w:r w:rsidRPr="004A7EDA">
        <w:rPr>
          <w:lang w:val="en-GB"/>
        </w:rPr>
        <w:t>Indicator: Precincts developed</w:t>
      </w:r>
      <w:r w:rsidR="00113763">
        <w:rPr>
          <w:lang w:val="en-GB"/>
        </w:rPr>
        <w:t xml:space="preserve"> </w:t>
      </w:r>
      <w:r w:rsidRPr="004A7EDA">
        <w:rPr>
          <w:lang w:val="en-GB"/>
        </w:rPr>
        <w:t>and delivered</w:t>
      </w:r>
    </w:p>
    <w:p w14:paraId="6F1ECB86" w14:textId="77777777" w:rsidR="004A7EDA" w:rsidRPr="004A7EDA" w:rsidRDefault="004A7EDA" w:rsidP="004A7EDA">
      <w:pPr>
        <w:rPr>
          <w:lang w:val="en-GB"/>
        </w:rPr>
      </w:pPr>
      <w:r w:rsidRPr="004A7EDA">
        <w:rPr>
          <w:lang w:val="en-GB"/>
        </w:rPr>
        <w:t xml:space="preserve">Through its whole of government oversight in Business Precincts, the portfolio has delivered on the identification of, planning for and development in key areas of opportunity. This has established a long-term focus on precincts and their importance to Victoria’s economic performance as well as the future liveability of our urban centres. Specific activities to develop and deliver business precincts are described below. </w:t>
      </w:r>
    </w:p>
    <w:p w14:paraId="0B72BAEF" w14:textId="6B0DB9A2" w:rsidR="004A7EDA" w:rsidRPr="004A7EDA" w:rsidRDefault="004A7EDA" w:rsidP="00113763">
      <w:pPr>
        <w:pStyle w:val="Heading4"/>
        <w:rPr>
          <w:lang w:val="en-GB"/>
        </w:rPr>
      </w:pPr>
      <w:proofErr w:type="spellStart"/>
      <w:r w:rsidRPr="004A7EDA">
        <w:rPr>
          <w:lang w:val="en-GB"/>
        </w:rPr>
        <w:t>Footscray</w:t>
      </w:r>
      <w:proofErr w:type="spellEnd"/>
      <w:r w:rsidRPr="004A7EDA">
        <w:rPr>
          <w:lang w:val="en-GB"/>
        </w:rPr>
        <w:t xml:space="preserve"> – Health, </w:t>
      </w:r>
      <w:proofErr w:type="gramStart"/>
      <w:r w:rsidRPr="004A7EDA">
        <w:rPr>
          <w:lang w:val="en-GB"/>
        </w:rPr>
        <w:t>research</w:t>
      </w:r>
      <w:proofErr w:type="gramEnd"/>
      <w:r w:rsidR="00113763">
        <w:rPr>
          <w:lang w:val="en-GB"/>
        </w:rPr>
        <w:t xml:space="preserve"> </w:t>
      </w:r>
      <w:r w:rsidRPr="004A7EDA">
        <w:rPr>
          <w:lang w:val="en-GB"/>
        </w:rPr>
        <w:t>and hospitality</w:t>
      </w:r>
    </w:p>
    <w:p w14:paraId="4B7A21FD" w14:textId="20C94426" w:rsidR="004A7EDA" w:rsidRPr="004A7EDA" w:rsidRDefault="004A7EDA" w:rsidP="004A7EDA">
      <w:pPr>
        <w:rPr>
          <w:lang w:val="en-GB"/>
        </w:rPr>
      </w:pPr>
      <w:r w:rsidRPr="004A7EDA">
        <w:rPr>
          <w:lang w:val="en-GB"/>
        </w:rPr>
        <w:t>The department has engaged with key</w:t>
      </w:r>
      <w:r w:rsidR="00113763">
        <w:rPr>
          <w:lang w:val="en-GB"/>
        </w:rPr>
        <w:t xml:space="preserve"> </w:t>
      </w:r>
      <w:r w:rsidRPr="004A7EDA">
        <w:rPr>
          <w:lang w:val="en-GB"/>
        </w:rPr>
        <w:t>stakeholders to plan for development of the</w:t>
      </w:r>
      <w:r w:rsidR="00113763">
        <w:rPr>
          <w:lang w:val="en-GB"/>
        </w:rPr>
        <w:t xml:space="preserve"> </w:t>
      </w:r>
      <w:r w:rsidRPr="004A7EDA">
        <w:rPr>
          <w:lang w:val="en-GB"/>
        </w:rPr>
        <w:t>precinct to leverage the Victorian Government’s</w:t>
      </w:r>
      <w:r w:rsidR="00113763">
        <w:rPr>
          <w:lang w:val="en-GB"/>
        </w:rPr>
        <w:t xml:space="preserve"> </w:t>
      </w:r>
      <w:r w:rsidRPr="004A7EDA">
        <w:rPr>
          <w:lang w:val="en-GB"/>
        </w:rPr>
        <w:t>unparalleled investment in education, health,</w:t>
      </w:r>
      <w:r w:rsidR="00113763">
        <w:rPr>
          <w:lang w:val="en-GB"/>
        </w:rPr>
        <w:t xml:space="preserve"> </w:t>
      </w:r>
      <w:r w:rsidRPr="004A7EDA">
        <w:rPr>
          <w:lang w:val="en-GB"/>
        </w:rPr>
        <w:t>sporting facilities and transport infrastructure</w:t>
      </w:r>
      <w:r w:rsidR="00113763">
        <w:rPr>
          <w:lang w:val="en-GB"/>
        </w:rPr>
        <w:t xml:space="preserve"> </w:t>
      </w:r>
      <w:r w:rsidRPr="004A7EDA">
        <w:rPr>
          <w:lang w:val="en-GB"/>
        </w:rPr>
        <w:t xml:space="preserve">in </w:t>
      </w:r>
      <w:proofErr w:type="spellStart"/>
      <w:r w:rsidRPr="004A7EDA">
        <w:rPr>
          <w:lang w:val="en-GB"/>
        </w:rPr>
        <w:t>Footscray</w:t>
      </w:r>
      <w:proofErr w:type="spellEnd"/>
      <w:r w:rsidRPr="004A7EDA">
        <w:rPr>
          <w:lang w:val="en-GB"/>
        </w:rPr>
        <w:t xml:space="preserve"> and Melbourne’s inner west.</w:t>
      </w:r>
    </w:p>
    <w:p w14:paraId="2776C579" w14:textId="77777777" w:rsidR="004A7EDA" w:rsidRPr="004A7EDA" w:rsidRDefault="004A7EDA" w:rsidP="004A7EDA">
      <w:pPr>
        <w:rPr>
          <w:lang w:val="en-GB"/>
        </w:rPr>
      </w:pPr>
      <w:r w:rsidRPr="004A7EDA">
        <w:rPr>
          <w:lang w:val="en-GB"/>
        </w:rPr>
        <w:t xml:space="preserve">Early works have commenced on the new </w:t>
      </w:r>
      <w:proofErr w:type="spellStart"/>
      <w:r w:rsidRPr="004A7EDA">
        <w:rPr>
          <w:lang w:val="en-GB"/>
        </w:rPr>
        <w:t>Footscray</w:t>
      </w:r>
      <w:proofErr w:type="spellEnd"/>
      <w:r w:rsidRPr="004A7EDA">
        <w:rPr>
          <w:lang w:val="en-GB"/>
        </w:rPr>
        <w:t xml:space="preserve"> Hospital Project which is being built on land </w:t>
      </w:r>
      <w:proofErr w:type="gramStart"/>
      <w:r w:rsidRPr="004A7EDA">
        <w:rPr>
          <w:lang w:val="en-GB"/>
        </w:rPr>
        <w:t>in close proximity to</w:t>
      </w:r>
      <w:proofErr w:type="gramEnd"/>
      <w:r w:rsidRPr="004A7EDA">
        <w:rPr>
          <w:lang w:val="en-GB"/>
        </w:rPr>
        <w:t xml:space="preserve"> the current hospital. The $1.5 billion dollar build is scheduled to be completed in 2025. Options to repurpose the old hospital site will be identified in the coming year. </w:t>
      </w:r>
    </w:p>
    <w:p w14:paraId="12826F47" w14:textId="77777777" w:rsidR="004A7EDA" w:rsidRPr="004A7EDA" w:rsidRDefault="004A7EDA" w:rsidP="00113763">
      <w:pPr>
        <w:pStyle w:val="Heading4"/>
        <w:rPr>
          <w:lang w:val="en-GB"/>
        </w:rPr>
      </w:pPr>
      <w:r w:rsidRPr="004A7EDA">
        <w:rPr>
          <w:lang w:val="en-GB"/>
        </w:rPr>
        <w:t>Parkville – Biomedical and research</w:t>
      </w:r>
    </w:p>
    <w:p w14:paraId="30F3B2BD" w14:textId="77777777" w:rsidR="004A7EDA" w:rsidRPr="004A7EDA" w:rsidRDefault="004A7EDA" w:rsidP="004A7EDA">
      <w:pPr>
        <w:rPr>
          <w:lang w:val="en-GB"/>
        </w:rPr>
      </w:pPr>
      <w:r w:rsidRPr="004A7EDA">
        <w:rPr>
          <w:lang w:val="en-GB"/>
        </w:rPr>
        <w:t xml:space="preserve">The department has successfully conducted discussions across government regarding opportunities within the precinct to achieve the strategic vision for Parkville to become a global top ten biomedical precinct and driver of healthcare advances, economic </w:t>
      </w:r>
      <w:proofErr w:type="gramStart"/>
      <w:r w:rsidRPr="004A7EDA">
        <w:rPr>
          <w:lang w:val="en-GB"/>
        </w:rPr>
        <w:t>growth</w:t>
      </w:r>
      <w:proofErr w:type="gramEnd"/>
      <w:r w:rsidRPr="004A7EDA">
        <w:rPr>
          <w:lang w:val="en-GB"/>
        </w:rPr>
        <w:t xml:space="preserve"> and jobs for Victoria. </w:t>
      </w:r>
    </w:p>
    <w:p w14:paraId="101CBC21" w14:textId="77777777" w:rsidR="004A7EDA" w:rsidRPr="004A7EDA" w:rsidRDefault="004A7EDA" w:rsidP="004A7EDA">
      <w:pPr>
        <w:rPr>
          <w:lang w:val="en-GB"/>
        </w:rPr>
      </w:pPr>
      <w:r w:rsidRPr="004A7EDA">
        <w:rPr>
          <w:lang w:val="en-GB"/>
        </w:rPr>
        <w:t xml:space="preserve">The department has secured $400 million for the establishment of the Australian Institute for Infectious Disease to lead the fight against future pandemics. This new Institute will be delivered in partnership with the University of Melbourne, Doherty </w:t>
      </w:r>
      <w:proofErr w:type="gramStart"/>
      <w:r w:rsidRPr="004A7EDA">
        <w:rPr>
          <w:lang w:val="en-GB"/>
        </w:rPr>
        <w:t>Institute</w:t>
      </w:r>
      <w:proofErr w:type="gramEnd"/>
      <w:r w:rsidRPr="004A7EDA">
        <w:rPr>
          <w:lang w:val="en-GB"/>
        </w:rPr>
        <w:t xml:space="preserve"> and the Burnet Institute. </w:t>
      </w:r>
    </w:p>
    <w:p w14:paraId="2F83DDDD" w14:textId="77777777" w:rsidR="004A7EDA" w:rsidRPr="004A7EDA" w:rsidRDefault="004A7EDA" w:rsidP="00113763">
      <w:pPr>
        <w:pStyle w:val="Heading4"/>
        <w:rPr>
          <w:lang w:val="en-GB"/>
        </w:rPr>
      </w:pPr>
      <w:r w:rsidRPr="004A7EDA">
        <w:rPr>
          <w:lang w:val="en-GB"/>
        </w:rPr>
        <w:t>Docklands</w:t>
      </w:r>
    </w:p>
    <w:p w14:paraId="70E324B9" w14:textId="77777777" w:rsidR="004A7EDA" w:rsidRPr="004A7EDA" w:rsidRDefault="004A7EDA" w:rsidP="004A7EDA">
      <w:pPr>
        <w:rPr>
          <w:lang w:val="en-GB"/>
        </w:rPr>
      </w:pPr>
      <w:r w:rsidRPr="004A7EDA">
        <w:rPr>
          <w:lang w:val="en-GB"/>
        </w:rPr>
        <w:t>The department released the Docklands Media Precinct Expression of Interest to attract innovative commercial proposals to enhance Docklands Studios Melbourne’s capacity to secure and service high value local and international screen productions whilst delivering on a thriving media precinct that will see it become a globally recognised media destination.</w:t>
      </w:r>
    </w:p>
    <w:p w14:paraId="33F88A83" w14:textId="64482498" w:rsidR="004A7EDA" w:rsidRPr="004A7EDA" w:rsidRDefault="004A7EDA" w:rsidP="004A7EDA">
      <w:pPr>
        <w:rPr>
          <w:lang w:val="en-GB"/>
        </w:rPr>
      </w:pPr>
      <w:r w:rsidRPr="004A7EDA">
        <w:rPr>
          <w:lang w:val="en-GB"/>
        </w:rPr>
        <w:t>Progress has been made on delivering on the state’s $225 million commitment towards the redevelopment of Marvel Stadium, including announcing the project designs, and appointing John Holland to undertake construction works to commence in the second half of 2021. This project will enhance Victoria’s major stadia infrastructure and better position Melbourne to host both domestic and world-class sporting and entertainment events over the next 30 years.</w:t>
      </w:r>
    </w:p>
    <w:p w14:paraId="60E6A43F" w14:textId="77777777" w:rsidR="004A7EDA" w:rsidRPr="004A7EDA" w:rsidRDefault="004A7EDA" w:rsidP="00113763">
      <w:pPr>
        <w:pStyle w:val="Heading4"/>
        <w:rPr>
          <w:lang w:val="en-GB"/>
        </w:rPr>
      </w:pPr>
      <w:proofErr w:type="spellStart"/>
      <w:r w:rsidRPr="004A7EDA">
        <w:rPr>
          <w:lang w:val="en-GB"/>
        </w:rPr>
        <w:t>Fishermans</w:t>
      </w:r>
      <w:proofErr w:type="spellEnd"/>
      <w:r w:rsidRPr="004A7EDA">
        <w:rPr>
          <w:lang w:val="en-GB"/>
        </w:rPr>
        <w:t xml:space="preserve"> Bend</w:t>
      </w:r>
    </w:p>
    <w:p w14:paraId="0B37EADE" w14:textId="77777777" w:rsidR="004A7EDA" w:rsidRPr="004A7EDA" w:rsidRDefault="004A7EDA" w:rsidP="004A7EDA">
      <w:pPr>
        <w:rPr>
          <w:lang w:val="en-GB"/>
        </w:rPr>
      </w:pPr>
      <w:r w:rsidRPr="004A7EDA">
        <w:rPr>
          <w:lang w:val="en-GB"/>
        </w:rPr>
        <w:t xml:space="preserve">The department has secured $179.4 million for the development of the first stage of the </w:t>
      </w:r>
      <w:proofErr w:type="spellStart"/>
      <w:r w:rsidRPr="004A7EDA">
        <w:rPr>
          <w:lang w:val="en-GB"/>
        </w:rPr>
        <w:t>Fishermans</w:t>
      </w:r>
      <w:proofErr w:type="spellEnd"/>
      <w:r w:rsidRPr="004A7EDA">
        <w:rPr>
          <w:lang w:val="en-GB"/>
        </w:rPr>
        <w:t xml:space="preserve"> Bend Innovation Precinct, announced in May 2021, which will transform the </w:t>
      </w:r>
      <w:proofErr w:type="gramStart"/>
      <w:r w:rsidRPr="004A7EDA">
        <w:rPr>
          <w:lang w:val="en-GB"/>
        </w:rPr>
        <w:t>32 hectare</w:t>
      </w:r>
      <w:proofErr w:type="gramEnd"/>
      <w:r w:rsidRPr="004A7EDA">
        <w:rPr>
          <w:lang w:val="en-GB"/>
        </w:rPr>
        <w:t xml:space="preserve"> former General Motors Holden site into an innovation precinct focused on advanced manufacturing, engineering and design. </w:t>
      </w:r>
    </w:p>
    <w:p w14:paraId="7B3A024A" w14:textId="77777777" w:rsidR="004A7EDA" w:rsidRPr="004A7EDA" w:rsidRDefault="004A7EDA" w:rsidP="004A7EDA">
      <w:pPr>
        <w:rPr>
          <w:lang w:val="en-GB"/>
        </w:rPr>
      </w:pPr>
      <w:r w:rsidRPr="004A7EDA">
        <w:rPr>
          <w:lang w:val="en-GB"/>
        </w:rPr>
        <w:t xml:space="preserve">The Innovation Precinct is one of five precincts within </w:t>
      </w:r>
      <w:proofErr w:type="spellStart"/>
      <w:r w:rsidRPr="004A7EDA">
        <w:rPr>
          <w:lang w:val="en-GB"/>
        </w:rPr>
        <w:t>Fishermans</w:t>
      </w:r>
      <w:proofErr w:type="spellEnd"/>
      <w:r w:rsidRPr="004A7EDA">
        <w:rPr>
          <w:lang w:val="en-GB"/>
        </w:rPr>
        <w:t xml:space="preserve"> Bend, the largest urban renewal project in Australia. </w:t>
      </w:r>
      <w:proofErr w:type="spellStart"/>
      <w:r w:rsidRPr="004A7EDA">
        <w:rPr>
          <w:lang w:val="en-GB"/>
        </w:rPr>
        <w:t>Fishermans</w:t>
      </w:r>
      <w:proofErr w:type="spellEnd"/>
      <w:r w:rsidRPr="004A7EDA">
        <w:rPr>
          <w:lang w:val="en-GB"/>
        </w:rPr>
        <w:t xml:space="preserve"> Bend is expected to accommodate 80,000 jobs and 80,000 residents by 2050, unlocking $30 billion of development construction value.</w:t>
      </w:r>
    </w:p>
    <w:p w14:paraId="7B76C132" w14:textId="77777777" w:rsidR="004A7EDA" w:rsidRPr="004A7EDA" w:rsidRDefault="004A7EDA" w:rsidP="00113763">
      <w:pPr>
        <w:pStyle w:val="Heading4"/>
        <w:rPr>
          <w:lang w:val="en-GB"/>
        </w:rPr>
      </w:pPr>
      <w:r w:rsidRPr="004A7EDA">
        <w:rPr>
          <w:lang w:val="en-GB"/>
        </w:rPr>
        <w:t xml:space="preserve">Cremorne </w:t>
      </w:r>
    </w:p>
    <w:p w14:paraId="15DEA629" w14:textId="77777777" w:rsidR="004A7EDA" w:rsidRPr="004A7EDA" w:rsidRDefault="004A7EDA" w:rsidP="004A7EDA">
      <w:pPr>
        <w:rPr>
          <w:lang w:val="en-GB"/>
        </w:rPr>
      </w:pPr>
      <w:r w:rsidRPr="004A7EDA">
        <w:rPr>
          <w:lang w:val="en-GB"/>
        </w:rPr>
        <w:t xml:space="preserve">The 2020–21 State Budget announced a $12 million investment in a Flagship Digital Hub at Cremorne to drive a significant uplift in digital capability, workforce skills, and innovation across Victorian industries. The Digital Hub will be a key initiative </w:t>
      </w:r>
      <w:r w:rsidRPr="004A7EDA">
        <w:rPr>
          <w:lang w:val="en-GB"/>
        </w:rPr>
        <w:lastRenderedPageBreak/>
        <w:t>that supports the Victorian Government’s ambitions for the Cremorne precinct, which are set out in the Cremorne Place Implementation Plan.</w:t>
      </w:r>
    </w:p>
    <w:p w14:paraId="23115FCF" w14:textId="77777777" w:rsidR="004A7EDA" w:rsidRPr="004A7EDA" w:rsidRDefault="004A7EDA" w:rsidP="00113763">
      <w:pPr>
        <w:pStyle w:val="Heading4"/>
        <w:rPr>
          <w:lang w:val="en-GB"/>
        </w:rPr>
      </w:pPr>
      <w:r w:rsidRPr="004A7EDA">
        <w:rPr>
          <w:lang w:val="en-GB"/>
        </w:rPr>
        <w:t xml:space="preserve">Indicator: Community </w:t>
      </w:r>
      <w:r w:rsidRPr="00113763">
        <w:t>satisfaction</w:t>
      </w:r>
      <w:r w:rsidRPr="004A7EDA">
        <w:rPr>
          <w:lang w:val="en-GB"/>
        </w:rPr>
        <w:t xml:space="preserve"> in public places</w:t>
      </w:r>
    </w:p>
    <w:p w14:paraId="6C953B86" w14:textId="77777777" w:rsidR="004A7EDA" w:rsidRPr="004A7EDA" w:rsidRDefault="004A7EDA" w:rsidP="00113763">
      <w:pPr>
        <w:pStyle w:val="Heading5"/>
        <w:rPr>
          <w:lang w:val="en-GB"/>
        </w:rPr>
      </w:pPr>
      <w:r w:rsidRPr="004A7EDA">
        <w:rPr>
          <w:lang w:val="en-GB"/>
        </w:rPr>
        <w:t>Table 9: Community satisfaction in public places</w:t>
      </w:r>
    </w:p>
    <w:tbl>
      <w:tblPr>
        <w:tblW w:w="0" w:type="auto"/>
        <w:tblInd w:w="28" w:type="dxa"/>
        <w:tblLayout w:type="fixed"/>
        <w:tblCellMar>
          <w:left w:w="0" w:type="dxa"/>
          <w:right w:w="0" w:type="dxa"/>
        </w:tblCellMar>
        <w:tblLook w:val="0000" w:firstRow="0" w:lastRow="0" w:firstColumn="0" w:lastColumn="0" w:noHBand="0" w:noVBand="0"/>
      </w:tblPr>
      <w:tblGrid>
        <w:gridCol w:w="4508"/>
        <w:gridCol w:w="1462"/>
        <w:gridCol w:w="1462"/>
        <w:gridCol w:w="1461"/>
        <w:gridCol w:w="1462"/>
      </w:tblGrid>
      <w:tr w:rsidR="004A7EDA" w:rsidRPr="00991083" w14:paraId="6D99EBD4" w14:textId="77777777" w:rsidTr="007B5F39">
        <w:trPr>
          <w:trHeight w:val="112"/>
        </w:trPr>
        <w:tc>
          <w:tcPr>
            <w:tcW w:w="4508"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4196DC7" w14:textId="77777777" w:rsidR="004A7EDA" w:rsidRPr="00991083" w:rsidRDefault="004A7EDA" w:rsidP="00991083">
            <w:pPr>
              <w:pStyle w:val="TableHeading"/>
            </w:pPr>
            <w:r w:rsidRPr="00991083">
              <w:t>Measure (unit of measure)</w:t>
            </w:r>
          </w:p>
        </w:tc>
        <w:tc>
          <w:tcPr>
            <w:tcW w:w="146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E954CED" w14:textId="77777777" w:rsidR="004A7EDA" w:rsidRPr="00991083" w:rsidRDefault="004A7EDA" w:rsidP="00991083">
            <w:pPr>
              <w:pStyle w:val="TableHeading"/>
            </w:pPr>
            <w:r w:rsidRPr="00991083">
              <w:t>2017–18</w:t>
            </w:r>
          </w:p>
        </w:tc>
        <w:tc>
          <w:tcPr>
            <w:tcW w:w="146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0B4ED93" w14:textId="77777777" w:rsidR="004A7EDA" w:rsidRPr="00991083" w:rsidRDefault="004A7EDA" w:rsidP="00991083">
            <w:pPr>
              <w:pStyle w:val="TableHeading"/>
            </w:pPr>
            <w:r w:rsidRPr="00991083">
              <w:t>2018–19</w:t>
            </w:r>
          </w:p>
        </w:tc>
        <w:tc>
          <w:tcPr>
            <w:tcW w:w="14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80AF333" w14:textId="77777777" w:rsidR="004A7EDA" w:rsidRPr="00991083" w:rsidRDefault="004A7EDA" w:rsidP="00991083">
            <w:pPr>
              <w:pStyle w:val="TableHeading"/>
            </w:pPr>
            <w:r w:rsidRPr="00991083">
              <w:t>2019–20</w:t>
            </w:r>
          </w:p>
        </w:tc>
        <w:tc>
          <w:tcPr>
            <w:tcW w:w="146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720BA5A" w14:textId="77777777" w:rsidR="004A7EDA" w:rsidRPr="00991083" w:rsidRDefault="004A7EDA" w:rsidP="00991083">
            <w:pPr>
              <w:pStyle w:val="TableHeading"/>
            </w:pPr>
            <w:r w:rsidRPr="00991083">
              <w:t>2020–21</w:t>
            </w:r>
          </w:p>
        </w:tc>
      </w:tr>
      <w:tr w:rsidR="004A7EDA" w:rsidRPr="00991083" w14:paraId="1CC9C329" w14:textId="77777777" w:rsidTr="007B5F39">
        <w:trPr>
          <w:trHeight w:val="112"/>
        </w:trPr>
        <w:tc>
          <w:tcPr>
            <w:tcW w:w="4508"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44F91BC0" w14:textId="19926688" w:rsidR="004A7EDA" w:rsidRPr="00991083" w:rsidRDefault="004A7EDA" w:rsidP="00991083">
            <w:pPr>
              <w:pStyle w:val="TableCopy"/>
            </w:pPr>
            <w:r w:rsidRPr="00991083">
              <w:t>Appearance of public areas</w:t>
            </w:r>
            <w:r w:rsidR="00ED270D" w:rsidRPr="00991083">
              <w:t xml:space="preserve"> </w:t>
            </w:r>
            <w:r w:rsidRPr="00991083">
              <w:t>(per cent)</w:t>
            </w:r>
          </w:p>
        </w:tc>
        <w:tc>
          <w:tcPr>
            <w:tcW w:w="1462"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3AA78C8" w14:textId="77777777" w:rsidR="004A7EDA" w:rsidRPr="00991083" w:rsidRDefault="004A7EDA" w:rsidP="00991083">
            <w:pPr>
              <w:pStyle w:val="TableCopy"/>
            </w:pPr>
            <w:r w:rsidRPr="00991083">
              <w:t>n/a</w:t>
            </w:r>
          </w:p>
        </w:tc>
        <w:tc>
          <w:tcPr>
            <w:tcW w:w="1462"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5DE856F0" w14:textId="77777777" w:rsidR="004A7EDA" w:rsidRPr="00991083" w:rsidRDefault="004A7EDA" w:rsidP="00991083">
            <w:pPr>
              <w:pStyle w:val="TableCopy"/>
            </w:pPr>
            <w:r w:rsidRPr="00991083">
              <w:t>72</w:t>
            </w:r>
          </w:p>
        </w:tc>
        <w:tc>
          <w:tcPr>
            <w:tcW w:w="1461"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55C1D90" w14:textId="77777777" w:rsidR="004A7EDA" w:rsidRPr="00991083" w:rsidRDefault="004A7EDA" w:rsidP="00991083">
            <w:pPr>
              <w:pStyle w:val="TableCopy"/>
            </w:pPr>
            <w:r w:rsidRPr="00991083">
              <w:t>72</w:t>
            </w:r>
          </w:p>
        </w:tc>
        <w:tc>
          <w:tcPr>
            <w:tcW w:w="1462"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9E6F821" w14:textId="77777777" w:rsidR="004A7EDA" w:rsidRPr="00991083" w:rsidRDefault="004A7EDA" w:rsidP="00991083">
            <w:pPr>
              <w:pStyle w:val="TableCopy"/>
            </w:pPr>
            <w:r w:rsidRPr="00991083">
              <w:t>73</w:t>
            </w:r>
          </w:p>
        </w:tc>
      </w:tr>
      <w:tr w:rsidR="004A7EDA" w:rsidRPr="00991083" w14:paraId="70E44109" w14:textId="77777777" w:rsidTr="007B5F39">
        <w:trPr>
          <w:trHeight w:val="112"/>
        </w:trPr>
        <w:tc>
          <w:tcPr>
            <w:tcW w:w="4508"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0350C614" w14:textId="26FA1545" w:rsidR="004A7EDA" w:rsidRPr="00991083" w:rsidRDefault="004A7EDA" w:rsidP="00991083">
            <w:pPr>
              <w:pStyle w:val="TableCopy"/>
            </w:pPr>
            <w:r w:rsidRPr="00991083">
              <w:t>Community consultation and engagement</w:t>
            </w:r>
            <w:r w:rsidR="00ED270D" w:rsidRPr="00991083">
              <w:t xml:space="preserve"> </w:t>
            </w:r>
            <w:r w:rsidRPr="00991083">
              <w:t>(per cent)</w:t>
            </w:r>
          </w:p>
        </w:tc>
        <w:tc>
          <w:tcPr>
            <w:tcW w:w="1462"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4CCB99FF" w14:textId="77777777" w:rsidR="004A7EDA" w:rsidRPr="00991083" w:rsidRDefault="004A7EDA" w:rsidP="00991083">
            <w:pPr>
              <w:pStyle w:val="TableCopy"/>
            </w:pPr>
            <w:r w:rsidRPr="00991083">
              <w:t>n/a</w:t>
            </w:r>
          </w:p>
        </w:tc>
        <w:tc>
          <w:tcPr>
            <w:tcW w:w="1462"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9DFB656" w14:textId="77777777" w:rsidR="004A7EDA" w:rsidRPr="00991083" w:rsidRDefault="004A7EDA" w:rsidP="00991083">
            <w:pPr>
              <w:pStyle w:val="TableCopy"/>
            </w:pPr>
            <w:r w:rsidRPr="00991083">
              <w:t>56</w:t>
            </w:r>
          </w:p>
        </w:tc>
        <w:tc>
          <w:tcPr>
            <w:tcW w:w="1461"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5662E4E5" w14:textId="77777777" w:rsidR="004A7EDA" w:rsidRPr="00991083" w:rsidRDefault="004A7EDA" w:rsidP="00991083">
            <w:pPr>
              <w:pStyle w:val="TableCopy"/>
            </w:pPr>
            <w:r w:rsidRPr="00991083">
              <w:t>55</w:t>
            </w:r>
          </w:p>
        </w:tc>
        <w:tc>
          <w:tcPr>
            <w:tcW w:w="1462"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AF4155C" w14:textId="77777777" w:rsidR="004A7EDA" w:rsidRPr="00991083" w:rsidRDefault="004A7EDA" w:rsidP="00991083">
            <w:pPr>
              <w:pStyle w:val="TableCopy"/>
            </w:pPr>
            <w:r w:rsidRPr="00991083">
              <w:t>56</w:t>
            </w:r>
          </w:p>
        </w:tc>
      </w:tr>
      <w:tr w:rsidR="004A7EDA" w:rsidRPr="00991083" w14:paraId="61D403B8" w14:textId="77777777" w:rsidTr="007B5F39">
        <w:trPr>
          <w:trHeight w:val="112"/>
        </w:trPr>
        <w:tc>
          <w:tcPr>
            <w:tcW w:w="4508"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F9FF592" w14:textId="46FFAC56" w:rsidR="004A7EDA" w:rsidRPr="00991083" w:rsidRDefault="004A7EDA" w:rsidP="00991083">
            <w:pPr>
              <w:pStyle w:val="TableCopy"/>
            </w:pPr>
            <w:r w:rsidRPr="00991083">
              <w:t>Planning for population growth in the area</w:t>
            </w:r>
            <w:r w:rsidR="00ED270D" w:rsidRPr="00991083">
              <w:t xml:space="preserve"> </w:t>
            </w:r>
            <w:r w:rsidRPr="00991083">
              <w:t>(per cent)</w:t>
            </w:r>
          </w:p>
        </w:tc>
        <w:tc>
          <w:tcPr>
            <w:tcW w:w="1462"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69CD342" w14:textId="77777777" w:rsidR="004A7EDA" w:rsidRPr="00991083" w:rsidRDefault="004A7EDA" w:rsidP="00991083">
            <w:pPr>
              <w:pStyle w:val="TableCopy"/>
            </w:pPr>
            <w:r w:rsidRPr="00991083">
              <w:t>n/a</w:t>
            </w:r>
          </w:p>
        </w:tc>
        <w:tc>
          <w:tcPr>
            <w:tcW w:w="1462"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9615023" w14:textId="77777777" w:rsidR="004A7EDA" w:rsidRPr="00991083" w:rsidRDefault="004A7EDA" w:rsidP="00991083">
            <w:pPr>
              <w:pStyle w:val="TableCopy"/>
            </w:pPr>
            <w:r w:rsidRPr="00991083">
              <w:t>52</w:t>
            </w:r>
          </w:p>
        </w:tc>
        <w:tc>
          <w:tcPr>
            <w:tcW w:w="1461"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54C1B4A" w14:textId="77777777" w:rsidR="004A7EDA" w:rsidRPr="00991083" w:rsidRDefault="004A7EDA" w:rsidP="00991083">
            <w:pPr>
              <w:pStyle w:val="TableCopy"/>
            </w:pPr>
            <w:r w:rsidRPr="00991083">
              <w:t>51</w:t>
            </w:r>
          </w:p>
        </w:tc>
        <w:tc>
          <w:tcPr>
            <w:tcW w:w="1462"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3BFD826" w14:textId="77777777" w:rsidR="004A7EDA" w:rsidRPr="00991083" w:rsidRDefault="004A7EDA" w:rsidP="00991083">
            <w:pPr>
              <w:pStyle w:val="TableCopy"/>
            </w:pPr>
            <w:r w:rsidRPr="00991083">
              <w:t>53</w:t>
            </w:r>
          </w:p>
        </w:tc>
      </w:tr>
    </w:tbl>
    <w:p w14:paraId="11A382C7" w14:textId="77777777" w:rsidR="004A7EDA" w:rsidRPr="004A7EDA" w:rsidRDefault="004A7EDA" w:rsidP="00113763">
      <w:pPr>
        <w:pStyle w:val="Heading5"/>
        <w:rPr>
          <w:lang w:val="en-GB"/>
        </w:rPr>
      </w:pPr>
      <w:r w:rsidRPr="004A7EDA">
        <w:rPr>
          <w:lang w:val="en-GB"/>
        </w:rPr>
        <w:t>Figure 6: Appearance of public areas</w:t>
      </w:r>
    </w:p>
    <w:p w14:paraId="48DCC3AA" w14:textId="23D16012" w:rsidR="004A7EDA" w:rsidRPr="004A7EDA" w:rsidRDefault="00ED270D" w:rsidP="004A7EDA">
      <w:pPr>
        <w:rPr>
          <w:lang w:val="en-GB"/>
        </w:rPr>
      </w:pPr>
      <w:r>
        <w:rPr>
          <w:noProof/>
          <w:lang w:val="en-GB"/>
        </w:rPr>
        <w:drawing>
          <wp:inline distT="0" distB="0" distL="0" distR="0" wp14:anchorId="325F58D3" wp14:editId="6197B7E0">
            <wp:extent cx="2894965" cy="1784234"/>
            <wp:effectExtent l="0" t="0" r="0" b="0"/>
            <wp:docPr id="6" name="Picture 6" descr="Chart&#10;&#10;Appearance of public areas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Appearance of public areas 2017-2021"/>
                    <pic:cNvPicPr/>
                  </pic:nvPicPr>
                  <pic:blipFill rotWithShape="1">
                    <a:blip r:embed="rId16"/>
                    <a:srcRect t="3242" b="25426"/>
                    <a:stretch/>
                  </pic:blipFill>
                  <pic:spPr bwMode="auto">
                    <a:xfrm>
                      <a:off x="0" y="0"/>
                      <a:ext cx="2895600" cy="1784625"/>
                    </a:xfrm>
                    <a:prstGeom prst="rect">
                      <a:avLst/>
                    </a:prstGeom>
                    <a:ln>
                      <a:noFill/>
                    </a:ln>
                    <a:extLst>
                      <a:ext uri="{53640926-AAD7-44D8-BBD7-CCE9431645EC}">
                        <a14:shadowObscured xmlns:a14="http://schemas.microsoft.com/office/drawing/2010/main"/>
                      </a:ext>
                    </a:extLst>
                  </pic:spPr>
                </pic:pic>
              </a:graphicData>
            </a:graphic>
          </wp:inline>
        </w:drawing>
      </w:r>
    </w:p>
    <w:p w14:paraId="584B3383" w14:textId="42C52726" w:rsidR="004A7EDA" w:rsidRPr="0042727B" w:rsidRDefault="004A7EDA" w:rsidP="0042727B">
      <w:pPr>
        <w:pStyle w:val="Heading5"/>
        <w:rPr>
          <w:lang w:val="en-GB"/>
        </w:rPr>
      </w:pPr>
      <w:r w:rsidRPr="004A7EDA">
        <w:rPr>
          <w:lang w:val="en-GB"/>
        </w:rPr>
        <w:t>Figure 7: Community consultation</w:t>
      </w:r>
      <w:r w:rsidR="00ED270D">
        <w:rPr>
          <w:lang w:val="en-GB"/>
        </w:rPr>
        <w:t xml:space="preserve"> </w:t>
      </w:r>
      <w:r w:rsidRPr="004A7EDA">
        <w:rPr>
          <w:lang w:val="en-GB"/>
        </w:rPr>
        <w:t>and engagement</w:t>
      </w:r>
    </w:p>
    <w:p w14:paraId="580411DD" w14:textId="45AAB3A1" w:rsidR="004A7EDA" w:rsidRPr="004A7EDA" w:rsidRDefault="00ED270D" w:rsidP="004A7EDA">
      <w:pPr>
        <w:rPr>
          <w:lang w:val="en-GB"/>
        </w:rPr>
      </w:pPr>
      <w:r>
        <w:rPr>
          <w:noProof/>
          <w:lang w:val="en-GB"/>
        </w:rPr>
        <w:drawing>
          <wp:inline distT="0" distB="0" distL="0" distR="0" wp14:anchorId="40BA0B98" wp14:editId="67085652">
            <wp:extent cx="2894603" cy="1791929"/>
            <wp:effectExtent l="0" t="0" r="0" b="0"/>
            <wp:docPr id="7" name="Picture 7" descr="Chart&#10;Community consultation and engagement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Community consultation and engagement 2017-2021"/>
                    <pic:cNvPicPr/>
                  </pic:nvPicPr>
                  <pic:blipFill rotWithShape="1">
                    <a:blip r:embed="rId17"/>
                    <a:srcRect t="2949" b="25405"/>
                    <a:stretch/>
                  </pic:blipFill>
                  <pic:spPr bwMode="auto">
                    <a:xfrm>
                      <a:off x="0" y="0"/>
                      <a:ext cx="2895600" cy="1792546"/>
                    </a:xfrm>
                    <a:prstGeom prst="rect">
                      <a:avLst/>
                    </a:prstGeom>
                    <a:ln>
                      <a:noFill/>
                    </a:ln>
                    <a:extLst>
                      <a:ext uri="{53640926-AAD7-44D8-BBD7-CCE9431645EC}">
                        <a14:shadowObscured xmlns:a14="http://schemas.microsoft.com/office/drawing/2010/main"/>
                      </a:ext>
                    </a:extLst>
                  </pic:spPr>
                </pic:pic>
              </a:graphicData>
            </a:graphic>
          </wp:inline>
        </w:drawing>
      </w:r>
    </w:p>
    <w:p w14:paraId="2F2E2CFE" w14:textId="1B934146" w:rsidR="004A7EDA" w:rsidRPr="004A7EDA" w:rsidRDefault="004A7EDA" w:rsidP="00ED270D">
      <w:pPr>
        <w:pStyle w:val="Heading5"/>
        <w:rPr>
          <w:lang w:val="en-GB"/>
        </w:rPr>
      </w:pPr>
      <w:r w:rsidRPr="004A7EDA">
        <w:rPr>
          <w:lang w:val="en-GB"/>
        </w:rPr>
        <w:t>Figure 8: Planning for population growth</w:t>
      </w:r>
      <w:r w:rsidR="00ED270D">
        <w:rPr>
          <w:lang w:val="en-GB"/>
        </w:rPr>
        <w:t xml:space="preserve"> </w:t>
      </w:r>
      <w:r w:rsidRPr="004A7EDA">
        <w:rPr>
          <w:lang w:val="en-GB"/>
        </w:rPr>
        <w:t>in the area</w:t>
      </w:r>
    </w:p>
    <w:p w14:paraId="1980E0B8" w14:textId="42EC3135" w:rsidR="004A7EDA" w:rsidRPr="004A7EDA" w:rsidRDefault="00ED270D" w:rsidP="004A7EDA">
      <w:pPr>
        <w:rPr>
          <w:lang w:val="en-GB"/>
        </w:rPr>
      </w:pPr>
      <w:r>
        <w:rPr>
          <w:noProof/>
          <w:lang w:val="en-GB"/>
        </w:rPr>
        <w:drawing>
          <wp:inline distT="0" distB="0" distL="0" distR="0" wp14:anchorId="7A28A2E1" wp14:editId="54C970B8">
            <wp:extent cx="2895464" cy="1853729"/>
            <wp:effectExtent l="0" t="0" r="0" b="0"/>
            <wp:docPr id="8" name="Picture 8" descr="Chart&#10;&#10;Planning for population growth in the area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Planning for population growth in the area 2017-2021"/>
                    <pic:cNvPicPr/>
                  </pic:nvPicPr>
                  <pic:blipFill rotWithShape="1">
                    <a:blip r:embed="rId18"/>
                    <a:srcRect t="3243" b="22661"/>
                    <a:stretch/>
                  </pic:blipFill>
                  <pic:spPr bwMode="auto">
                    <a:xfrm>
                      <a:off x="0" y="0"/>
                      <a:ext cx="2895600" cy="1853816"/>
                    </a:xfrm>
                    <a:prstGeom prst="rect">
                      <a:avLst/>
                    </a:prstGeom>
                    <a:ln>
                      <a:noFill/>
                    </a:ln>
                    <a:extLst>
                      <a:ext uri="{53640926-AAD7-44D8-BBD7-CCE9431645EC}">
                        <a14:shadowObscured xmlns:a14="http://schemas.microsoft.com/office/drawing/2010/main"/>
                      </a:ext>
                    </a:extLst>
                  </pic:spPr>
                </pic:pic>
              </a:graphicData>
            </a:graphic>
          </wp:inline>
        </w:drawing>
      </w:r>
    </w:p>
    <w:p w14:paraId="42C1DA84" w14:textId="3516911E" w:rsidR="004A7EDA" w:rsidRPr="004A7EDA" w:rsidRDefault="004A7EDA" w:rsidP="004A7EDA">
      <w:pPr>
        <w:rPr>
          <w:lang w:val="en-GB"/>
        </w:rPr>
      </w:pPr>
      <w:r w:rsidRPr="004A7EDA">
        <w:rPr>
          <w:lang w:val="en-GB"/>
        </w:rPr>
        <w:t>Community satisfaction with the appearance</w:t>
      </w:r>
      <w:r w:rsidR="00ED270D">
        <w:rPr>
          <w:lang w:val="en-GB"/>
        </w:rPr>
        <w:t xml:space="preserve"> </w:t>
      </w:r>
      <w:r w:rsidRPr="004A7EDA">
        <w:rPr>
          <w:lang w:val="en-GB"/>
        </w:rPr>
        <w:t>of public areas has increased by one point from</w:t>
      </w:r>
      <w:r w:rsidR="00ED270D">
        <w:rPr>
          <w:lang w:val="en-GB"/>
        </w:rPr>
        <w:t xml:space="preserve"> </w:t>
      </w:r>
      <w:r w:rsidRPr="004A7EDA">
        <w:rPr>
          <w:lang w:val="en-GB"/>
        </w:rPr>
        <w:t>2020, with Metropolitan and Regional Cities rating</w:t>
      </w:r>
      <w:r w:rsidR="00ED270D">
        <w:rPr>
          <w:lang w:val="en-GB"/>
        </w:rPr>
        <w:t xml:space="preserve"> </w:t>
      </w:r>
      <w:r w:rsidRPr="004A7EDA">
        <w:rPr>
          <w:lang w:val="en-GB"/>
        </w:rPr>
        <w:t xml:space="preserve">higher than the </w:t>
      </w:r>
      <w:proofErr w:type="spellStart"/>
      <w:r w:rsidRPr="004A7EDA">
        <w:rPr>
          <w:lang w:val="en-GB"/>
        </w:rPr>
        <w:t>statewide</w:t>
      </w:r>
      <w:proofErr w:type="spellEnd"/>
      <w:r w:rsidRPr="004A7EDA">
        <w:rPr>
          <w:lang w:val="en-GB"/>
        </w:rPr>
        <w:t xml:space="preserve"> average. Further to these</w:t>
      </w:r>
      <w:r w:rsidR="00ED270D">
        <w:rPr>
          <w:lang w:val="en-GB"/>
        </w:rPr>
        <w:t xml:space="preserve"> </w:t>
      </w:r>
      <w:r w:rsidRPr="004A7EDA">
        <w:rPr>
          <w:lang w:val="en-GB"/>
        </w:rPr>
        <w:t xml:space="preserve">results, 10 per cent of </w:t>
      </w:r>
      <w:proofErr w:type="gramStart"/>
      <w:r w:rsidRPr="004A7EDA">
        <w:rPr>
          <w:lang w:val="en-GB"/>
        </w:rPr>
        <w:t>residents</w:t>
      </w:r>
      <w:proofErr w:type="gramEnd"/>
      <w:r w:rsidRPr="004A7EDA">
        <w:rPr>
          <w:lang w:val="en-GB"/>
        </w:rPr>
        <w:t xml:space="preserve"> mention volunteer</w:t>
      </w:r>
      <w:r w:rsidR="00ED270D">
        <w:rPr>
          <w:lang w:val="en-GB"/>
        </w:rPr>
        <w:t xml:space="preserve"> </w:t>
      </w:r>
      <w:r w:rsidRPr="004A7EDA">
        <w:rPr>
          <w:lang w:val="en-GB"/>
        </w:rPr>
        <w:t>parks and gardens as the best aspect of their local</w:t>
      </w:r>
      <w:r w:rsidR="00ED270D">
        <w:rPr>
          <w:lang w:val="en-GB"/>
        </w:rPr>
        <w:t xml:space="preserve"> </w:t>
      </w:r>
      <w:r w:rsidRPr="004A7EDA">
        <w:rPr>
          <w:lang w:val="en-GB"/>
        </w:rPr>
        <w:t>council (the leading response, alongside customer</w:t>
      </w:r>
      <w:r w:rsidR="00ED270D">
        <w:rPr>
          <w:lang w:val="en-GB"/>
        </w:rPr>
        <w:t xml:space="preserve"> </w:t>
      </w:r>
      <w:r w:rsidRPr="004A7EDA">
        <w:rPr>
          <w:lang w:val="en-GB"/>
        </w:rPr>
        <w:t>service) and seven per cent mention recreational and sporting facilities.</w:t>
      </w:r>
    </w:p>
    <w:p w14:paraId="21E8D392" w14:textId="77777777" w:rsidR="004A7EDA" w:rsidRPr="004A7EDA" w:rsidRDefault="004A7EDA" w:rsidP="004A7EDA">
      <w:pPr>
        <w:rPr>
          <w:lang w:val="en-GB"/>
        </w:rPr>
      </w:pPr>
      <w:r w:rsidRPr="004A7EDA">
        <w:rPr>
          <w:lang w:val="en-GB"/>
        </w:rPr>
        <w:t>Community consultation and engagement remains consistent after recovering from the one-point decrease in 2019–20.</w:t>
      </w:r>
    </w:p>
    <w:p w14:paraId="7C095330" w14:textId="146E863F" w:rsidR="004A7EDA" w:rsidRPr="004A7EDA" w:rsidRDefault="004A7EDA" w:rsidP="004A7EDA">
      <w:pPr>
        <w:rPr>
          <w:lang w:val="en-GB"/>
        </w:rPr>
      </w:pPr>
      <w:r w:rsidRPr="004A7EDA">
        <w:rPr>
          <w:lang w:val="en-GB"/>
        </w:rPr>
        <w:lastRenderedPageBreak/>
        <w:t>In 2021, 18 councils sought feedback on their planning for population growth. The result of 53 points</w:t>
      </w:r>
      <w:r w:rsidR="00ED270D">
        <w:rPr>
          <w:lang w:val="en-GB"/>
        </w:rPr>
        <w:t xml:space="preserve"> </w:t>
      </w:r>
      <w:r w:rsidRPr="004A7EDA">
        <w:rPr>
          <w:lang w:val="en-GB"/>
        </w:rPr>
        <w:t>is the highest since 2015. The participating rural</w:t>
      </w:r>
      <w:r w:rsidR="00ED270D">
        <w:rPr>
          <w:lang w:val="en-GB"/>
        </w:rPr>
        <w:t xml:space="preserve"> </w:t>
      </w:r>
      <w:r w:rsidRPr="004A7EDA">
        <w:rPr>
          <w:lang w:val="en-GB"/>
        </w:rPr>
        <w:t>and interface councils have performed below</w:t>
      </w:r>
      <w:r w:rsidR="00ED270D">
        <w:rPr>
          <w:lang w:val="en-GB"/>
        </w:rPr>
        <w:t xml:space="preserve"> </w:t>
      </w:r>
      <w:r w:rsidRPr="004A7EDA">
        <w:rPr>
          <w:lang w:val="en-GB"/>
        </w:rPr>
        <w:t>the average.</w:t>
      </w:r>
    </w:p>
    <w:p w14:paraId="246B711E" w14:textId="59F3A2CA" w:rsidR="004A7EDA" w:rsidRPr="004A7EDA" w:rsidRDefault="004A7EDA" w:rsidP="00ED270D">
      <w:pPr>
        <w:pStyle w:val="Heading4"/>
        <w:rPr>
          <w:lang w:val="en-GB"/>
        </w:rPr>
      </w:pPr>
      <w:r w:rsidRPr="004A7EDA">
        <w:rPr>
          <w:lang w:val="en-GB"/>
        </w:rPr>
        <w:t>Indicator: Community satisfaction with performance of councils measured</w:t>
      </w:r>
      <w:r w:rsidR="00ED270D">
        <w:rPr>
          <w:lang w:val="en-GB"/>
        </w:rPr>
        <w:t xml:space="preserve"> </w:t>
      </w:r>
      <w:r w:rsidRPr="004A7EDA">
        <w:rPr>
          <w:lang w:val="en-GB"/>
        </w:rPr>
        <w:t>through the Local Government Community Satisfaction Survey</w:t>
      </w:r>
    </w:p>
    <w:p w14:paraId="48DF44FE" w14:textId="77777777" w:rsidR="004A7EDA" w:rsidRPr="004A7EDA" w:rsidRDefault="004A7EDA" w:rsidP="00ED270D">
      <w:pPr>
        <w:pStyle w:val="Heading5"/>
        <w:rPr>
          <w:lang w:val="en-GB"/>
        </w:rPr>
      </w:pPr>
      <w:r w:rsidRPr="004A7EDA">
        <w:rPr>
          <w:lang w:val="en-GB"/>
        </w:rPr>
        <w:t>Table 10: Community satisfaction with performance of councils</w:t>
      </w:r>
    </w:p>
    <w:tbl>
      <w:tblPr>
        <w:tblW w:w="0" w:type="auto"/>
        <w:tblInd w:w="28" w:type="dxa"/>
        <w:tblLayout w:type="fixed"/>
        <w:tblCellMar>
          <w:left w:w="0" w:type="dxa"/>
          <w:right w:w="0" w:type="dxa"/>
        </w:tblCellMar>
        <w:tblLook w:val="0000" w:firstRow="0" w:lastRow="0" w:firstColumn="0" w:lastColumn="0" w:noHBand="0" w:noVBand="0"/>
      </w:tblPr>
      <w:tblGrid>
        <w:gridCol w:w="4452"/>
        <w:gridCol w:w="1444"/>
        <w:gridCol w:w="1444"/>
        <w:gridCol w:w="1443"/>
        <w:gridCol w:w="1444"/>
      </w:tblGrid>
      <w:tr w:rsidR="004A7EDA" w:rsidRPr="004A7EDA" w14:paraId="29128448" w14:textId="77777777" w:rsidTr="00F55645">
        <w:trPr>
          <w:trHeight w:val="114"/>
        </w:trPr>
        <w:tc>
          <w:tcPr>
            <w:tcW w:w="4452"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866ADD9" w14:textId="77777777" w:rsidR="004A7EDA" w:rsidRPr="004A7EDA" w:rsidRDefault="004A7EDA" w:rsidP="007B5F39">
            <w:pPr>
              <w:pStyle w:val="TableHeading"/>
              <w:rPr>
                <w:lang w:val="en-GB"/>
              </w:rPr>
            </w:pPr>
            <w:r w:rsidRPr="004A7EDA">
              <w:rPr>
                <w:lang w:val="en-GB"/>
              </w:rPr>
              <w:t>Measure (unit of measure)</w:t>
            </w:r>
          </w:p>
        </w:tc>
        <w:tc>
          <w:tcPr>
            <w:tcW w:w="1444"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5628350C" w14:textId="77777777" w:rsidR="004A7EDA" w:rsidRPr="004A7EDA" w:rsidRDefault="004A7EDA" w:rsidP="00C34B9B">
            <w:pPr>
              <w:pStyle w:val="TableHeading"/>
              <w:jc w:val="right"/>
              <w:rPr>
                <w:lang w:val="en-GB"/>
              </w:rPr>
            </w:pPr>
            <w:r w:rsidRPr="004A7EDA">
              <w:rPr>
                <w:lang w:val="en-GB"/>
              </w:rPr>
              <w:t>2017–18</w:t>
            </w:r>
          </w:p>
        </w:tc>
        <w:tc>
          <w:tcPr>
            <w:tcW w:w="1444"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5F87F7AE" w14:textId="77777777" w:rsidR="004A7EDA" w:rsidRPr="004A7EDA" w:rsidRDefault="004A7EDA" w:rsidP="00C34B9B">
            <w:pPr>
              <w:pStyle w:val="TableHeading"/>
              <w:jc w:val="right"/>
              <w:rPr>
                <w:lang w:val="en-GB"/>
              </w:rPr>
            </w:pPr>
            <w:r w:rsidRPr="004A7EDA">
              <w:rPr>
                <w:lang w:val="en-GB"/>
              </w:rPr>
              <w:t>2018–19</w:t>
            </w:r>
          </w:p>
        </w:tc>
        <w:tc>
          <w:tcPr>
            <w:tcW w:w="1443"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7E35C4BE" w14:textId="77777777" w:rsidR="004A7EDA" w:rsidRPr="004A7EDA" w:rsidRDefault="004A7EDA" w:rsidP="00C34B9B">
            <w:pPr>
              <w:pStyle w:val="TableHeading"/>
              <w:jc w:val="right"/>
              <w:rPr>
                <w:lang w:val="en-GB"/>
              </w:rPr>
            </w:pPr>
            <w:r w:rsidRPr="004A7EDA">
              <w:rPr>
                <w:lang w:val="en-GB"/>
              </w:rPr>
              <w:t>2019–20</w:t>
            </w:r>
          </w:p>
        </w:tc>
        <w:tc>
          <w:tcPr>
            <w:tcW w:w="1444"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FC9BADC" w14:textId="77777777" w:rsidR="004A7EDA" w:rsidRPr="004A7EDA" w:rsidRDefault="004A7EDA" w:rsidP="00C34B9B">
            <w:pPr>
              <w:pStyle w:val="TableHeading"/>
              <w:jc w:val="right"/>
              <w:rPr>
                <w:lang w:val="en-GB"/>
              </w:rPr>
            </w:pPr>
            <w:r w:rsidRPr="004A7EDA">
              <w:rPr>
                <w:lang w:val="en-GB"/>
              </w:rPr>
              <w:t>2020–21</w:t>
            </w:r>
          </w:p>
        </w:tc>
      </w:tr>
      <w:tr w:rsidR="004A7EDA" w:rsidRPr="004A7EDA" w14:paraId="49903C4E" w14:textId="77777777" w:rsidTr="00F55645">
        <w:trPr>
          <w:trHeight w:val="114"/>
        </w:trPr>
        <w:tc>
          <w:tcPr>
            <w:tcW w:w="4452"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46698976" w14:textId="41CCDCDF" w:rsidR="004A7EDA" w:rsidRPr="004A7EDA" w:rsidRDefault="004A7EDA" w:rsidP="007B5F39">
            <w:pPr>
              <w:pStyle w:val="TableCopy"/>
              <w:rPr>
                <w:lang w:val="en-GB"/>
              </w:rPr>
            </w:pPr>
            <w:r w:rsidRPr="004A7EDA">
              <w:rPr>
                <w:lang w:val="en-GB"/>
              </w:rPr>
              <w:t>Satisfaction with overall council performance</w:t>
            </w:r>
            <w:r w:rsidRPr="004A7EDA">
              <w:rPr>
                <w:lang w:val="en-GB"/>
              </w:rPr>
              <w:br/>
              <w:t>in the last 12 months</w:t>
            </w:r>
            <w:r w:rsidR="00ED270D">
              <w:rPr>
                <w:lang w:val="en-GB"/>
              </w:rPr>
              <w:t xml:space="preserve"> </w:t>
            </w:r>
            <w:r w:rsidRPr="004A7EDA">
              <w:rPr>
                <w:lang w:val="en-GB"/>
              </w:rPr>
              <w:t>(per cent)</w:t>
            </w:r>
          </w:p>
        </w:tc>
        <w:tc>
          <w:tcPr>
            <w:tcW w:w="144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59CB3C66" w14:textId="77777777" w:rsidR="004A7EDA" w:rsidRPr="004A7EDA" w:rsidRDefault="004A7EDA" w:rsidP="00C34B9B">
            <w:pPr>
              <w:pStyle w:val="TableCopy"/>
              <w:jc w:val="right"/>
              <w:rPr>
                <w:lang w:val="en-GB"/>
              </w:rPr>
            </w:pPr>
            <w:r w:rsidRPr="004A7EDA">
              <w:rPr>
                <w:lang w:val="en-GB"/>
              </w:rPr>
              <w:t>59</w:t>
            </w:r>
          </w:p>
        </w:tc>
        <w:tc>
          <w:tcPr>
            <w:tcW w:w="144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4D8E84C" w14:textId="77777777" w:rsidR="004A7EDA" w:rsidRPr="004A7EDA" w:rsidRDefault="004A7EDA" w:rsidP="00C34B9B">
            <w:pPr>
              <w:pStyle w:val="TableCopy"/>
              <w:jc w:val="right"/>
              <w:rPr>
                <w:lang w:val="en-GB"/>
              </w:rPr>
            </w:pPr>
            <w:r w:rsidRPr="004A7EDA">
              <w:rPr>
                <w:lang w:val="en-GB"/>
              </w:rPr>
              <w:t>60</w:t>
            </w:r>
          </w:p>
        </w:tc>
        <w:tc>
          <w:tcPr>
            <w:tcW w:w="1443"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7054A43E" w14:textId="77777777" w:rsidR="004A7EDA" w:rsidRPr="004A7EDA" w:rsidRDefault="004A7EDA" w:rsidP="00C34B9B">
            <w:pPr>
              <w:pStyle w:val="TableCopy"/>
              <w:jc w:val="right"/>
              <w:rPr>
                <w:lang w:val="en-GB"/>
              </w:rPr>
            </w:pPr>
            <w:r w:rsidRPr="004A7EDA">
              <w:rPr>
                <w:lang w:val="en-GB"/>
              </w:rPr>
              <w:t>58</w:t>
            </w:r>
          </w:p>
        </w:tc>
        <w:tc>
          <w:tcPr>
            <w:tcW w:w="144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7A2DC94B" w14:textId="77777777" w:rsidR="004A7EDA" w:rsidRPr="004A7EDA" w:rsidRDefault="004A7EDA" w:rsidP="00C34B9B">
            <w:pPr>
              <w:pStyle w:val="TableCopy"/>
              <w:jc w:val="right"/>
              <w:rPr>
                <w:lang w:val="en-GB"/>
              </w:rPr>
            </w:pPr>
            <w:r w:rsidRPr="004A7EDA">
              <w:rPr>
                <w:lang w:val="en-GB"/>
              </w:rPr>
              <w:t>61</w:t>
            </w:r>
          </w:p>
        </w:tc>
      </w:tr>
      <w:tr w:rsidR="004A7EDA" w:rsidRPr="004A7EDA" w14:paraId="1666C2B9" w14:textId="77777777" w:rsidTr="00F55645">
        <w:trPr>
          <w:trHeight w:val="114"/>
        </w:trPr>
        <w:tc>
          <w:tcPr>
            <w:tcW w:w="4452"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D665221" w14:textId="6780D409" w:rsidR="004A7EDA" w:rsidRPr="004A7EDA" w:rsidRDefault="004A7EDA" w:rsidP="007B5F39">
            <w:pPr>
              <w:pStyle w:val="TableCopy"/>
              <w:rPr>
                <w:lang w:val="en-GB"/>
              </w:rPr>
            </w:pPr>
            <w:r w:rsidRPr="004A7EDA">
              <w:rPr>
                <w:lang w:val="en-GB"/>
              </w:rPr>
              <w:t>Satisfaction with council decisions made</w:t>
            </w:r>
            <w:r w:rsidRPr="004A7EDA">
              <w:rPr>
                <w:lang w:val="en-GB"/>
              </w:rPr>
              <w:br/>
              <w:t>in the interest of the community</w:t>
            </w:r>
            <w:r w:rsidR="00ED270D">
              <w:rPr>
                <w:lang w:val="en-GB"/>
              </w:rPr>
              <w:t xml:space="preserve"> </w:t>
            </w:r>
            <w:r w:rsidRPr="004A7EDA">
              <w:rPr>
                <w:lang w:val="en-GB"/>
              </w:rPr>
              <w:t>(per cent)</w:t>
            </w:r>
          </w:p>
        </w:tc>
        <w:tc>
          <w:tcPr>
            <w:tcW w:w="144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19699501" w14:textId="77777777" w:rsidR="004A7EDA" w:rsidRPr="004A7EDA" w:rsidRDefault="004A7EDA" w:rsidP="00C34B9B">
            <w:pPr>
              <w:pStyle w:val="TableCopy"/>
              <w:jc w:val="right"/>
              <w:rPr>
                <w:lang w:val="en-GB"/>
              </w:rPr>
            </w:pPr>
            <w:r w:rsidRPr="004A7EDA">
              <w:rPr>
                <w:lang w:val="en-GB"/>
              </w:rPr>
              <w:t>54</w:t>
            </w:r>
          </w:p>
        </w:tc>
        <w:tc>
          <w:tcPr>
            <w:tcW w:w="144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0286191D" w14:textId="77777777" w:rsidR="004A7EDA" w:rsidRPr="004A7EDA" w:rsidRDefault="004A7EDA" w:rsidP="00C34B9B">
            <w:pPr>
              <w:pStyle w:val="TableCopy"/>
              <w:jc w:val="right"/>
              <w:rPr>
                <w:lang w:val="en-GB"/>
              </w:rPr>
            </w:pPr>
            <w:r w:rsidRPr="004A7EDA">
              <w:rPr>
                <w:lang w:val="en-GB"/>
              </w:rPr>
              <w:t>55</w:t>
            </w:r>
          </w:p>
        </w:tc>
        <w:tc>
          <w:tcPr>
            <w:tcW w:w="1443"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D7E2787" w14:textId="77777777" w:rsidR="004A7EDA" w:rsidRPr="004A7EDA" w:rsidRDefault="004A7EDA" w:rsidP="00C34B9B">
            <w:pPr>
              <w:pStyle w:val="TableCopy"/>
              <w:jc w:val="right"/>
              <w:rPr>
                <w:lang w:val="en-GB"/>
              </w:rPr>
            </w:pPr>
            <w:r w:rsidRPr="004A7EDA">
              <w:rPr>
                <w:lang w:val="en-GB"/>
              </w:rPr>
              <w:t>53</w:t>
            </w:r>
          </w:p>
        </w:tc>
        <w:tc>
          <w:tcPr>
            <w:tcW w:w="144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1BBF5684" w14:textId="77777777" w:rsidR="004A7EDA" w:rsidRPr="004A7EDA" w:rsidRDefault="004A7EDA" w:rsidP="00C34B9B">
            <w:pPr>
              <w:pStyle w:val="TableCopy"/>
              <w:jc w:val="right"/>
              <w:rPr>
                <w:lang w:val="en-GB"/>
              </w:rPr>
            </w:pPr>
            <w:r w:rsidRPr="004A7EDA">
              <w:rPr>
                <w:lang w:val="en-GB"/>
              </w:rPr>
              <w:t>56</w:t>
            </w:r>
          </w:p>
        </w:tc>
      </w:tr>
      <w:tr w:rsidR="004A7EDA" w:rsidRPr="004A7EDA" w14:paraId="7203E757" w14:textId="77777777" w:rsidTr="00F55645">
        <w:trPr>
          <w:trHeight w:val="114"/>
        </w:trPr>
        <w:tc>
          <w:tcPr>
            <w:tcW w:w="4452"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F48F298" w14:textId="358E1032" w:rsidR="004A7EDA" w:rsidRPr="004A7EDA" w:rsidRDefault="004A7EDA" w:rsidP="007B5F39">
            <w:pPr>
              <w:pStyle w:val="TableCopy"/>
              <w:rPr>
                <w:lang w:val="en-GB"/>
              </w:rPr>
            </w:pPr>
            <w:r w:rsidRPr="004A7EDA">
              <w:rPr>
                <w:lang w:val="en-GB"/>
              </w:rPr>
              <w:t>Satisfaction with value for money in services</w:t>
            </w:r>
            <w:r w:rsidRPr="004A7EDA">
              <w:rPr>
                <w:lang w:val="en-GB"/>
              </w:rPr>
              <w:br/>
              <w:t>and infrastructure provided by council*</w:t>
            </w:r>
            <w:r w:rsidR="00F55645">
              <w:rPr>
                <w:lang w:val="en-GB"/>
              </w:rPr>
              <w:t xml:space="preserve"> </w:t>
            </w:r>
            <w:r w:rsidRPr="004A7EDA">
              <w:rPr>
                <w:lang w:val="en-GB"/>
              </w:rPr>
              <w:t>(per cent)</w:t>
            </w:r>
          </w:p>
        </w:tc>
        <w:tc>
          <w:tcPr>
            <w:tcW w:w="1444"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C8FA4AF" w14:textId="77777777" w:rsidR="004A7EDA" w:rsidRPr="004A7EDA" w:rsidRDefault="004A7EDA" w:rsidP="00C34B9B">
            <w:pPr>
              <w:pStyle w:val="TableCopy"/>
              <w:jc w:val="right"/>
              <w:rPr>
                <w:lang w:val="en-GB"/>
              </w:rPr>
            </w:pPr>
            <w:r w:rsidRPr="004A7EDA">
              <w:rPr>
                <w:lang w:val="en-GB"/>
              </w:rPr>
              <w:t>N/A</w:t>
            </w:r>
          </w:p>
        </w:tc>
        <w:tc>
          <w:tcPr>
            <w:tcW w:w="1444"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DADA3F8" w14:textId="77777777" w:rsidR="004A7EDA" w:rsidRPr="004A7EDA" w:rsidRDefault="004A7EDA" w:rsidP="00C34B9B">
            <w:pPr>
              <w:pStyle w:val="TableCopy"/>
              <w:jc w:val="right"/>
              <w:rPr>
                <w:lang w:val="en-GB"/>
              </w:rPr>
            </w:pPr>
            <w:r w:rsidRPr="004A7EDA">
              <w:rPr>
                <w:lang w:val="en-GB"/>
              </w:rPr>
              <w:t>N/A</w:t>
            </w:r>
          </w:p>
        </w:tc>
        <w:tc>
          <w:tcPr>
            <w:tcW w:w="1443"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9782521" w14:textId="77777777" w:rsidR="004A7EDA" w:rsidRPr="004A7EDA" w:rsidRDefault="004A7EDA" w:rsidP="00C34B9B">
            <w:pPr>
              <w:pStyle w:val="TableCopy"/>
              <w:jc w:val="right"/>
              <w:rPr>
                <w:lang w:val="en-GB"/>
              </w:rPr>
            </w:pPr>
            <w:r w:rsidRPr="004A7EDA">
              <w:rPr>
                <w:lang w:val="en-GB"/>
              </w:rPr>
              <w:t>N/A</w:t>
            </w:r>
          </w:p>
        </w:tc>
        <w:tc>
          <w:tcPr>
            <w:tcW w:w="1444"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1353A22" w14:textId="77777777" w:rsidR="004A7EDA" w:rsidRPr="004A7EDA" w:rsidRDefault="004A7EDA" w:rsidP="00C34B9B">
            <w:pPr>
              <w:pStyle w:val="TableCopy"/>
              <w:jc w:val="right"/>
              <w:rPr>
                <w:lang w:val="en-GB"/>
              </w:rPr>
            </w:pPr>
            <w:r w:rsidRPr="004A7EDA">
              <w:rPr>
                <w:lang w:val="en-GB"/>
              </w:rPr>
              <w:t>54</w:t>
            </w:r>
          </w:p>
        </w:tc>
      </w:tr>
    </w:tbl>
    <w:p w14:paraId="0FBDD00F" w14:textId="77777777" w:rsidR="004A7EDA" w:rsidRPr="004A7EDA" w:rsidRDefault="004A7EDA" w:rsidP="004A7EDA">
      <w:pPr>
        <w:rPr>
          <w:i/>
          <w:iCs/>
          <w:lang w:val="en-GB"/>
        </w:rPr>
      </w:pPr>
      <w:r w:rsidRPr="004A7EDA">
        <w:rPr>
          <w:i/>
          <w:iCs/>
          <w:lang w:val="en-GB"/>
        </w:rPr>
        <w:t>*New indicator in 2020–2021</w:t>
      </w:r>
    </w:p>
    <w:p w14:paraId="7FE38671" w14:textId="77777777" w:rsidR="004A7EDA" w:rsidRPr="004A7EDA" w:rsidRDefault="004A7EDA" w:rsidP="00ED270D">
      <w:pPr>
        <w:pStyle w:val="Heading5"/>
        <w:rPr>
          <w:lang w:val="en-GB"/>
        </w:rPr>
      </w:pPr>
      <w:r w:rsidRPr="004A7EDA">
        <w:rPr>
          <w:lang w:val="en-GB"/>
        </w:rPr>
        <w:t>Figure 9: Satisfaction with overall council performance in the last 12 months</w:t>
      </w:r>
    </w:p>
    <w:p w14:paraId="56A9A9B1" w14:textId="1C485440" w:rsidR="004A7EDA" w:rsidRPr="004A7EDA" w:rsidRDefault="00ED270D" w:rsidP="004A7EDA">
      <w:pPr>
        <w:rPr>
          <w:lang w:val="en-GB"/>
        </w:rPr>
      </w:pPr>
      <w:r>
        <w:rPr>
          <w:noProof/>
          <w:lang w:val="en-GB"/>
        </w:rPr>
        <w:drawing>
          <wp:inline distT="0" distB="0" distL="0" distR="0" wp14:anchorId="1DD4CF07" wp14:editId="4EBF57FA">
            <wp:extent cx="2895600" cy="1926771"/>
            <wp:effectExtent l="0" t="0" r="0" b="0"/>
            <wp:docPr id="9" name="Picture 9" descr="Chart&#10;&#10;Satisfaction with overall council performance in the last 12 mo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Satisfaction with overall council performance in the last 12 months "/>
                    <pic:cNvPicPr/>
                  </pic:nvPicPr>
                  <pic:blipFill rotWithShape="1">
                    <a:blip r:embed="rId19"/>
                    <a:srcRect b="22988"/>
                    <a:stretch/>
                  </pic:blipFill>
                  <pic:spPr bwMode="auto">
                    <a:xfrm>
                      <a:off x="0" y="0"/>
                      <a:ext cx="2895600" cy="1926771"/>
                    </a:xfrm>
                    <a:prstGeom prst="rect">
                      <a:avLst/>
                    </a:prstGeom>
                    <a:ln>
                      <a:noFill/>
                    </a:ln>
                    <a:extLst>
                      <a:ext uri="{53640926-AAD7-44D8-BBD7-CCE9431645EC}">
                        <a14:shadowObscured xmlns:a14="http://schemas.microsoft.com/office/drawing/2010/main"/>
                      </a:ext>
                    </a:extLst>
                  </pic:spPr>
                </pic:pic>
              </a:graphicData>
            </a:graphic>
          </wp:inline>
        </w:drawing>
      </w:r>
    </w:p>
    <w:p w14:paraId="45DFC2E4" w14:textId="77777777" w:rsidR="004A7EDA" w:rsidRPr="004A7EDA" w:rsidRDefault="004A7EDA" w:rsidP="00ED270D">
      <w:pPr>
        <w:pStyle w:val="Heading5"/>
        <w:rPr>
          <w:lang w:val="en-GB"/>
        </w:rPr>
      </w:pPr>
      <w:r w:rsidRPr="004A7EDA">
        <w:rPr>
          <w:lang w:val="en-GB"/>
        </w:rPr>
        <w:t>Figure 10: Satisfaction with council decisions made in the interest of the community</w:t>
      </w:r>
    </w:p>
    <w:p w14:paraId="34448BA1" w14:textId="758D0DBD" w:rsidR="004A7EDA" w:rsidRPr="004A7EDA" w:rsidRDefault="00ED270D" w:rsidP="004A7EDA">
      <w:pPr>
        <w:rPr>
          <w:lang w:val="en-GB"/>
        </w:rPr>
      </w:pPr>
      <w:r>
        <w:rPr>
          <w:noProof/>
          <w:lang w:val="en-GB"/>
        </w:rPr>
        <w:drawing>
          <wp:inline distT="0" distB="0" distL="0" distR="0" wp14:anchorId="3F551108" wp14:editId="0A4BD554">
            <wp:extent cx="2895600" cy="1926771"/>
            <wp:effectExtent l="0" t="0" r="0" b="0"/>
            <wp:docPr id="10" name="Picture 10" descr="Chart&#10;&#10;Satisfaction with council decisions made in the interest of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Satisfaction with council decisions made in the interest of the community"/>
                    <pic:cNvPicPr/>
                  </pic:nvPicPr>
                  <pic:blipFill rotWithShape="1">
                    <a:blip r:embed="rId20"/>
                    <a:srcRect b="22988"/>
                    <a:stretch/>
                  </pic:blipFill>
                  <pic:spPr bwMode="auto">
                    <a:xfrm>
                      <a:off x="0" y="0"/>
                      <a:ext cx="2895600" cy="1926771"/>
                    </a:xfrm>
                    <a:prstGeom prst="rect">
                      <a:avLst/>
                    </a:prstGeom>
                    <a:ln>
                      <a:noFill/>
                    </a:ln>
                    <a:extLst>
                      <a:ext uri="{53640926-AAD7-44D8-BBD7-CCE9431645EC}">
                        <a14:shadowObscured xmlns:a14="http://schemas.microsoft.com/office/drawing/2010/main"/>
                      </a:ext>
                    </a:extLst>
                  </pic:spPr>
                </pic:pic>
              </a:graphicData>
            </a:graphic>
          </wp:inline>
        </w:drawing>
      </w:r>
    </w:p>
    <w:p w14:paraId="44AD816B" w14:textId="77777777" w:rsidR="004A7EDA" w:rsidRPr="004A7EDA" w:rsidRDefault="004A7EDA" w:rsidP="004A7EDA">
      <w:pPr>
        <w:rPr>
          <w:lang w:val="en-GB"/>
        </w:rPr>
      </w:pPr>
      <w:r w:rsidRPr="004A7EDA">
        <w:rPr>
          <w:lang w:val="en-GB"/>
        </w:rPr>
        <w:t xml:space="preserve">The overall performance index score of 61 for councils </w:t>
      </w:r>
      <w:proofErr w:type="gramStart"/>
      <w:r w:rsidRPr="004A7EDA">
        <w:rPr>
          <w:lang w:val="en-GB"/>
        </w:rPr>
        <w:t>state wide</w:t>
      </w:r>
      <w:proofErr w:type="gramEnd"/>
      <w:r w:rsidRPr="004A7EDA">
        <w:rPr>
          <w:lang w:val="en-GB"/>
        </w:rPr>
        <w:t xml:space="preserve"> represents a significant three-point increase on the 2019–20 result. Recovering from a two-point decline last year, overall performance is now equal to its previous highest level; last achieved in 2014. </w:t>
      </w:r>
    </w:p>
    <w:p w14:paraId="4F4ACF38" w14:textId="32A75111" w:rsidR="004A7EDA" w:rsidRPr="004A7EDA" w:rsidRDefault="004A7EDA" w:rsidP="004A7EDA">
      <w:pPr>
        <w:rPr>
          <w:lang w:val="en-GB"/>
        </w:rPr>
      </w:pPr>
      <w:r w:rsidRPr="004A7EDA">
        <w:rPr>
          <w:lang w:val="en-GB"/>
        </w:rPr>
        <w:t>Victoria’s youngest (18 to 34 years) and oldest</w:t>
      </w:r>
      <w:r w:rsidR="00ED270D">
        <w:rPr>
          <w:lang w:val="en-GB"/>
        </w:rPr>
        <w:t xml:space="preserve"> </w:t>
      </w:r>
      <w:r w:rsidRPr="004A7EDA">
        <w:rPr>
          <w:lang w:val="en-GB"/>
        </w:rPr>
        <w:t>(65+ years) residents remain most positive about their council’s performance (index scores of 64 and 62 respectively – both significantly higher than the state-wide average). This contrasts with the middle-aged cohorts (35 to 49 and 50 to 64 years) who continue to rate their council’s performance significantly lower than the state-wide average (index scores of 59 and 57 respectively).</w:t>
      </w:r>
    </w:p>
    <w:p w14:paraId="03FC8006" w14:textId="6089F291" w:rsidR="004A7EDA" w:rsidRPr="004A7EDA" w:rsidRDefault="004A7EDA" w:rsidP="004A7EDA">
      <w:pPr>
        <w:rPr>
          <w:lang w:val="en-GB"/>
        </w:rPr>
      </w:pPr>
      <w:r w:rsidRPr="004A7EDA">
        <w:rPr>
          <w:lang w:val="en-GB"/>
        </w:rPr>
        <w:t>Almost four in 10 residents (39 per cent) rate</w:t>
      </w:r>
      <w:r w:rsidR="00ED270D">
        <w:rPr>
          <w:lang w:val="en-GB"/>
        </w:rPr>
        <w:t xml:space="preserve"> </w:t>
      </w:r>
      <w:r w:rsidRPr="004A7EDA">
        <w:rPr>
          <w:lang w:val="en-GB"/>
        </w:rPr>
        <w:t>the value for money received from their council in infrastructure and services provided as ‘very good’ or ‘good’ – many more than those who rate it as ‘poor’ or ‘very poor’ (23 per cent). A further</w:t>
      </w:r>
      <w:r w:rsidRPr="004A7EDA">
        <w:rPr>
          <w:lang w:val="en-GB"/>
        </w:rPr>
        <w:br/>
        <w:t>34 per cent sit mid-scale, rating value for money</w:t>
      </w:r>
      <w:r w:rsidR="00ED270D">
        <w:rPr>
          <w:lang w:val="en-GB"/>
        </w:rPr>
        <w:t xml:space="preserve"> </w:t>
      </w:r>
      <w:r w:rsidRPr="004A7EDA">
        <w:rPr>
          <w:lang w:val="en-GB"/>
        </w:rPr>
        <w:t>as ‘average’.</w:t>
      </w:r>
    </w:p>
    <w:p w14:paraId="08C81025" w14:textId="77777777" w:rsidR="004A7EDA" w:rsidRPr="004A7EDA" w:rsidRDefault="004A7EDA" w:rsidP="004A7EDA">
      <w:pPr>
        <w:rPr>
          <w:lang w:val="en-GB"/>
        </w:rPr>
      </w:pPr>
      <w:r w:rsidRPr="004A7EDA">
        <w:rPr>
          <w:lang w:val="en-GB"/>
        </w:rPr>
        <w:lastRenderedPageBreak/>
        <w:t xml:space="preserve">With the implementation of the </w:t>
      </w:r>
      <w:r w:rsidRPr="004A7EDA">
        <w:rPr>
          <w:i/>
          <w:iCs/>
          <w:lang w:val="en-GB"/>
        </w:rPr>
        <w:t>Local Government Act 2020</w:t>
      </w:r>
      <w:r w:rsidRPr="004A7EDA">
        <w:rPr>
          <w:lang w:val="en-GB"/>
        </w:rPr>
        <w:t xml:space="preserve"> and the introduction of deliberative engagement practices in the development of council plans and documents, there is greater emphasis on engaging the community and placing residents and ratepayers at the centre of council decision making. </w:t>
      </w:r>
    </w:p>
    <w:p w14:paraId="2D4B31AB" w14:textId="77777777" w:rsidR="004A7EDA" w:rsidRPr="004A7EDA" w:rsidRDefault="004A7EDA" w:rsidP="00ED270D">
      <w:pPr>
        <w:pStyle w:val="Heading4"/>
        <w:rPr>
          <w:lang w:val="en-GB"/>
        </w:rPr>
      </w:pPr>
      <w:r w:rsidRPr="004A7EDA">
        <w:rPr>
          <w:lang w:val="en-GB"/>
        </w:rPr>
        <w:t>Suburban Revitalisation</w:t>
      </w:r>
    </w:p>
    <w:p w14:paraId="38BD3248" w14:textId="77777777" w:rsidR="004A7EDA" w:rsidRPr="004A7EDA" w:rsidRDefault="004A7EDA" w:rsidP="004A7EDA">
      <w:pPr>
        <w:rPr>
          <w:lang w:val="en-GB"/>
        </w:rPr>
      </w:pPr>
      <w:r w:rsidRPr="004A7EDA">
        <w:rPr>
          <w:lang w:val="en-GB"/>
        </w:rPr>
        <w:t>In 2020–21, the Office for Suburban Development delivered grants of nearly $24 million for 114 Suburban Revitalisation projects. The Victorian Government’s investment, together with partner contributions, resulted in the leveraging of just</w:t>
      </w:r>
      <w:r w:rsidRPr="004A7EDA">
        <w:rPr>
          <w:lang w:val="en-GB"/>
        </w:rPr>
        <w:br/>
        <w:t>under $68 million in total value.</w:t>
      </w:r>
    </w:p>
    <w:p w14:paraId="4D3EC0BC" w14:textId="77777777" w:rsidR="004A7EDA" w:rsidRPr="004A7EDA" w:rsidRDefault="004A7EDA" w:rsidP="004A7EDA">
      <w:pPr>
        <w:rPr>
          <w:lang w:val="en-GB"/>
        </w:rPr>
      </w:pPr>
      <w:r w:rsidRPr="004A7EDA">
        <w:rPr>
          <w:lang w:val="en-GB"/>
        </w:rPr>
        <w:t xml:space="preserve">The Office for Suburban Development supported the continuation of the Frankston and Broadmeadows Suburban Revitalisation Boards and established six new Suburban Revitalisation Boards in Boronia, Lilydale, Melton, Noble Park, Reservoir and </w:t>
      </w:r>
      <w:proofErr w:type="spellStart"/>
      <w:r w:rsidRPr="004A7EDA">
        <w:rPr>
          <w:lang w:val="en-GB"/>
        </w:rPr>
        <w:t>Tarneit</w:t>
      </w:r>
      <w:proofErr w:type="spellEnd"/>
      <w:r w:rsidRPr="004A7EDA">
        <w:rPr>
          <w:lang w:val="en-GB"/>
        </w:rPr>
        <w:t xml:space="preserve">. Through these boards, the Office for Suburban Development drove the delivery of local priorities to improve economic, social and liveability outcomes for the local community. </w:t>
      </w:r>
    </w:p>
    <w:p w14:paraId="7B74B832" w14:textId="77777777" w:rsidR="004A7EDA" w:rsidRPr="004A7EDA" w:rsidRDefault="004A7EDA" w:rsidP="004A7EDA">
      <w:pPr>
        <w:rPr>
          <w:lang w:val="en-GB"/>
        </w:rPr>
      </w:pPr>
      <w:r w:rsidRPr="004A7EDA">
        <w:rPr>
          <w:lang w:val="en-GB"/>
        </w:rPr>
        <w:t>Suburban Revitalisation Boards are chaired by a local Member of Parliament, along with representatives from local government, local businesses, community organisations and local institutions.</w:t>
      </w:r>
    </w:p>
    <w:p w14:paraId="47CB5671" w14:textId="77777777" w:rsidR="004A7EDA" w:rsidRPr="004A7EDA" w:rsidRDefault="004A7EDA" w:rsidP="004A7EDA">
      <w:pPr>
        <w:rPr>
          <w:lang w:val="en-GB"/>
        </w:rPr>
      </w:pPr>
      <w:r w:rsidRPr="004A7EDA">
        <w:rPr>
          <w:lang w:val="en-GB"/>
        </w:rPr>
        <w:t xml:space="preserve">In response to the pandemic, the Office for Suburban Development also ramped-up delivery of Suburban Revitalisation projects across Melbourne to deliver investments in three 20-Minute Neighbourhood pilot sites, revitalisation projects in Thomastown and Lalor, and 32 projects through the Neighbourhood Activity Centre Renewal program. </w:t>
      </w:r>
    </w:p>
    <w:p w14:paraId="07A72C93" w14:textId="77777777" w:rsidR="004A7EDA" w:rsidRPr="004A7EDA" w:rsidRDefault="004A7EDA" w:rsidP="00ED270D">
      <w:pPr>
        <w:pStyle w:val="Heading4"/>
        <w:rPr>
          <w:lang w:val="en-GB"/>
        </w:rPr>
      </w:pPr>
      <w:r w:rsidRPr="004A7EDA">
        <w:rPr>
          <w:lang w:val="en-GB"/>
        </w:rPr>
        <w:t>Metropolitan Partnerships</w:t>
      </w:r>
    </w:p>
    <w:p w14:paraId="3365ABA4" w14:textId="4D789EE8" w:rsidR="004A7EDA" w:rsidRPr="004A7EDA" w:rsidRDefault="004A7EDA" w:rsidP="004A7EDA">
      <w:pPr>
        <w:rPr>
          <w:lang w:val="en-GB"/>
        </w:rPr>
      </w:pPr>
      <w:r w:rsidRPr="004A7EDA">
        <w:rPr>
          <w:lang w:val="en-GB"/>
        </w:rPr>
        <w:t>The Office for Suburban Development engaged 3800 people across 44 engagement activities, comprising virtual events and online engagement on regional priorities including transport, mental wellbeing, employment, business resilience and local living. The increase in engagement activities this year was to understand the impacts of COVID-19</w:t>
      </w:r>
      <w:r w:rsidR="00ED270D">
        <w:rPr>
          <w:lang w:val="en-GB"/>
        </w:rPr>
        <w:t xml:space="preserve"> </w:t>
      </w:r>
      <w:r w:rsidRPr="004A7EDA">
        <w:rPr>
          <w:lang w:val="en-GB"/>
        </w:rPr>
        <w:t>on suburban communities.</w:t>
      </w:r>
    </w:p>
    <w:p w14:paraId="5E767ACF" w14:textId="77777777" w:rsidR="004A7EDA" w:rsidRPr="004A7EDA" w:rsidRDefault="004A7EDA" w:rsidP="004A7EDA">
      <w:pPr>
        <w:rPr>
          <w:lang w:val="en-GB"/>
        </w:rPr>
      </w:pPr>
      <w:r w:rsidRPr="004A7EDA">
        <w:rPr>
          <w:lang w:val="en-GB"/>
        </w:rPr>
        <w:t xml:space="preserve">Engagement activities included six round tables hosted by the Metropolitan Partnership to build understanding of local impacts of COVID-19 and identify local recovery solutions. </w:t>
      </w:r>
    </w:p>
    <w:p w14:paraId="025234F0" w14:textId="77777777" w:rsidR="004A7EDA" w:rsidRPr="004A7EDA" w:rsidRDefault="004A7EDA" w:rsidP="004A7EDA">
      <w:pPr>
        <w:rPr>
          <w:lang w:val="en-GB"/>
        </w:rPr>
      </w:pPr>
      <w:r w:rsidRPr="004A7EDA">
        <w:rPr>
          <w:lang w:val="en-GB"/>
        </w:rPr>
        <w:t>In addition, $1 million was invested in 10 projects across metropolitan Melbourne, focusing on transport, local economies and innovation, community connectedness, climate adaptation, health, and housing.</w:t>
      </w:r>
    </w:p>
    <w:p w14:paraId="26C59795" w14:textId="77777777" w:rsidR="004A7EDA" w:rsidRPr="004A7EDA" w:rsidRDefault="004A7EDA" w:rsidP="00ED270D">
      <w:pPr>
        <w:pStyle w:val="Heading4"/>
        <w:rPr>
          <w:lang w:val="en-GB"/>
        </w:rPr>
      </w:pPr>
      <w:r w:rsidRPr="004A7EDA">
        <w:rPr>
          <w:lang w:val="en-GB"/>
        </w:rPr>
        <w:t>Regional Development</w:t>
      </w:r>
    </w:p>
    <w:p w14:paraId="0554F20C" w14:textId="77777777" w:rsidR="004A7EDA" w:rsidRPr="004A7EDA" w:rsidRDefault="004A7EDA" w:rsidP="004A7EDA">
      <w:pPr>
        <w:rPr>
          <w:lang w:val="en-GB"/>
        </w:rPr>
      </w:pPr>
      <w:r w:rsidRPr="004A7EDA">
        <w:rPr>
          <w:lang w:val="en-GB"/>
        </w:rPr>
        <w:t xml:space="preserve">Rural and regional </w:t>
      </w:r>
      <w:proofErr w:type="gramStart"/>
      <w:r w:rsidRPr="004A7EDA">
        <w:rPr>
          <w:lang w:val="en-GB"/>
        </w:rPr>
        <w:t>Victorians</w:t>
      </w:r>
      <w:proofErr w:type="gramEnd"/>
      <w:r w:rsidRPr="004A7EDA">
        <w:rPr>
          <w:lang w:val="en-GB"/>
        </w:rPr>
        <w:t xml:space="preserve"> account for a quarter of the state’s population. In 2020–21, the Victorian Government, through the Rural and Regional Victoria Group (RRV), worked to ensure that Victoria’s rural and regional communities enabled and shared in the benefits of the state’s economic growth, were supported during the COVID-19 pandemic, and received ongoing assistance following the impacts of the 2019–20 summer bushfires.</w:t>
      </w:r>
    </w:p>
    <w:p w14:paraId="26D66258" w14:textId="77777777" w:rsidR="004A7EDA" w:rsidRPr="004A7EDA" w:rsidRDefault="004A7EDA" w:rsidP="004A7EDA">
      <w:pPr>
        <w:rPr>
          <w:lang w:val="en-GB"/>
        </w:rPr>
      </w:pPr>
      <w:r w:rsidRPr="004A7EDA">
        <w:rPr>
          <w:lang w:val="en-GB"/>
        </w:rPr>
        <w:t>COVID-19 brought significant challenges to regional Victoria including impacts on tourism, employment, export sales and investment. In 2020–21 Regional Development Victoria (RDV) worked closely with local stakeholders and communities to understand the impact of COVID-19, facilitate solutions, and inform the government’s response to the pandemic.</w:t>
      </w:r>
    </w:p>
    <w:p w14:paraId="0987955A" w14:textId="4E15177A" w:rsidR="004A7EDA" w:rsidRPr="004A7EDA" w:rsidRDefault="004A7EDA" w:rsidP="00ED270D">
      <w:pPr>
        <w:pStyle w:val="Bullet"/>
        <w:rPr>
          <w:lang w:val="en-GB"/>
        </w:rPr>
      </w:pPr>
      <w:r w:rsidRPr="004A7EDA">
        <w:rPr>
          <w:lang w:val="en-GB"/>
        </w:rPr>
        <w:t>Despite the challenges caused by COVID-19,</w:t>
      </w:r>
      <w:r w:rsidR="00ED270D">
        <w:rPr>
          <w:lang w:val="en-GB"/>
        </w:rPr>
        <w:t xml:space="preserve"> </w:t>
      </w:r>
      <w:r w:rsidRPr="004A7EDA">
        <w:rPr>
          <w:lang w:val="en-GB"/>
        </w:rPr>
        <w:t>two performance targets were exceeded:</w:t>
      </w:r>
    </w:p>
    <w:p w14:paraId="317946D5" w14:textId="110A2FC8" w:rsidR="004A7EDA" w:rsidRPr="004A7EDA" w:rsidRDefault="004A7EDA" w:rsidP="00ED270D">
      <w:pPr>
        <w:pStyle w:val="Bullet"/>
        <w:rPr>
          <w:lang w:val="en-GB"/>
        </w:rPr>
      </w:pPr>
      <w:r w:rsidRPr="004A7EDA">
        <w:rPr>
          <w:lang w:val="en-GB"/>
        </w:rPr>
        <w:t>RDV supported 677 economic and service</w:t>
      </w:r>
      <w:r w:rsidR="00ED270D">
        <w:rPr>
          <w:lang w:val="en-GB"/>
        </w:rPr>
        <w:t xml:space="preserve"> </w:t>
      </w:r>
      <w:r w:rsidRPr="004A7EDA">
        <w:rPr>
          <w:lang w:val="en-GB"/>
        </w:rPr>
        <w:t>delivery projects in rural and regional Victoria,</w:t>
      </w:r>
      <w:r w:rsidR="00ED270D">
        <w:rPr>
          <w:lang w:val="en-GB"/>
        </w:rPr>
        <w:t xml:space="preserve"> </w:t>
      </w:r>
      <w:r w:rsidRPr="004A7EDA">
        <w:rPr>
          <w:lang w:val="en-GB"/>
        </w:rPr>
        <w:t>against a target of 150</w:t>
      </w:r>
    </w:p>
    <w:p w14:paraId="149F2882" w14:textId="77777777" w:rsidR="004A7EDA" w:rsidRPr="004A7EDA" w:rsidRDefault="004A7EDA" w:rsidP="00ED270D">
      <w:pPr>
        <w:pStyle w:val="Bullet"/>
        <w:rPr>
          <w:lang w:val="en-GB"/>
        </w:rPr>
      </w:pPr>
      <w:r w:rsidRPr="004A7EDA">
        <w:rPr>
          <w:lang w:val="en-GB"/>
        </w:rPr>
        <w:t>RDV achieved a rating of 98 per cent participant satisfaction with the implementation of its programs, against a target of 90 per cent.</w:t>
      </w:r>
    </w:p>
    <w:p w14:paraId="4516F57A" w14:textId="485E8F68" w:rsidR="004A7EDA" w:rsidRPr="004A7EDA" w:rsidRDefault="004A7EDA" w:rsidP="004A7EDA">
      <w:pPr>
        <w:rPr>
          <w:lang w:val="en-GB"/>
        </w:rPr>
      </w:pPr>
      <w:r w:rsidRPr="004A7EDA">
        <w:rPr>
          <w:lang w:val="en-GB"/>
        </w:rPr>
        <w:t xml:space="preserve">The impacts of COVID-19 on the growth, </w:t>
      </w:r>
      <w:proofErr w:type="gramStart"/>
      <w:r w:rsidRPr="004A7EDA">
        <w:rPr>
          <w:lang w:val="en-GB"/>
        </w:rPr>
        <w:t>employment</w:t>
      </w:r>
      <w:proofErr w:type="gramEnd"/>
      <w:r w:rsidRPr="004A7EDA">
        <w:rPr>
          <w:lang w:val="en-GB"/>
        </w:rPr>
        <w:t xml:space="preserve"> and export opportunities of businesses in rural and regional Victoria impacted the ability</w:t>
      </w:r>
      <w:r w:rsidR="00ED270D">
        <w:rPr>
          <w:lang w:val="en-GB"/>
        </w:rPr>
        <w:t xml:space="preserve"> </w:t>
      </w:r>
      <w:r w:rsidRPr="004A7EDA">
        <w:rPr>
          <w:lang w:val="en-GB"/>
        </w:rPr>
        <w:t>to meet three performance targets in 2020–21:</w:t>
      </w:r>
    </w:p>
    <w:p w14:paraId="1CD42EB3" w14:textId="020045B4" w:rsidR="004A7EDA" w:rsidRPr="00ED270D" w:rsidRDefault="004A7EDA" w:rsidP="00ED270D">
      <w:pPr>
        <w:pStyle w:val="Bullet"/>
      </w:pPr>
      <w:r w:rsidRPr="004A7EDA">
        <w:rPr>
          <w:lang w:val="en-GB"/>
        </w:rPr>
        <w:t xml:space="preserve">RDV generated $97 million of export sales </w:t>
      </w:r>
      <w:r w:rsidRPr="00ED270D">
        <w:t>against a target of $110 million, however actual exports reported from completed projects increased</w:t>
      </w:r>
      <w:r w:rsidR="00ED270D" w:rsidRPr="00ED270D">
        <w:t xml:space="preserve"> </w:t>
      </w:r>
      <w:r w:rsidRPr="00ED270D">
        <w:t>73 per cent from the 2019–20 result</w:t>
      </w:r>
    </w:p>
    <w:p w14:paraId="131059A7" w14:textId="77777777" w:rsidR="004A7EDA" w:rsidRPr="00ED270D" w:rsidRDefault="004A7EDA" w:rsidP="00ED270D">
      <w:pPr>
        <w:pStyle w:val="Bullet"/>
      </w:pPr>
      <w:r w:rsidRPr="00ED270D">
        <w:t>RDV facilitated the creation of 1468 new jobs against a target of 1770, however new jobs created in regional Victoria showed a 20 per cent increase from the 2019–20 result</w:t>
      </w:r>
    </w:p>
    <w:p w14:paraId="754C2039" w14:textId="77777777" w:rsidR="004A7EDA" w:rsidRPr="004A7EDA" w:rsidRDefault="004A7EDA" w:rsidP="00ED270D">
      <w:pPr>
        <w:pStyle w:val="Bullet"/>
        <w:rPr>
          <w:lang w:val="en-GB"/>
        </w:rPr>
      </w:pPr>
      <w:r w:rsidRPr="00ED270D">
        <w:t>RDV secured $906.7 million of new investments against a target of $1,400 million, however new investment in regional Victoria showed an eight per cent increase from</w:t>
      </w:r>
      <w:r w:rsidRPr="004A7EDA">
        <w:rPr>
          <w:lang w:val="en-GB"/>
        </w:rPr>
        <w:t xml:space="preserve"> the 2019–20 result.</w:t>
      </w:r>
    </w:p>
    <w:p w14:paraId="047D32A2" w14:textId="1462D117" w:rsidR="004A7EDA" w:rsidRPr="004A7EDA" w:rsidRDefault="004A7EDA" w:rsidP="004A7EDA">
      <w:pPr>
        <w:rPr>
          <w:lang w:val="en-GB"/>
        </w:rPr>
      </w:pPr>
      <w:r w:rsidRPr="004A7EDA">
        <w:rPr>
          <w:lang w:val="en-GB"/>
        </w:rPr>
        <w:t xml:space="preserve">In 2020–21 RDV supported the delivery of </w:t>
      </w:r>
      <w:proofErr w:type="gramStart"/>
      <w:r w:rsidRPr="004A7EDA">
        <w:rPr>
          <w:lang w:val="en-GB"/>
        </w:rPr>
        <w:t>a number of</w:t>
      </w:r>
      <w:proofErr w:type="gramEnd"/>
      <w:r w:rsidRPr="004A7EDA">
        <w:rPr>
          <w:lang w:val="en-GB"/>
        </w:rPr>
        <w:t xml:space="preserve"> government programs to address the impact</w:t>
      </w:r>
      <w:r w:rsidR="00ED270D">
        <w:rPr>
          <w:lang w:val="en-GB"/>
        </w:rPr>
        <w:t xml:space="preserve"> </w:t>
      </w:r>
      <w:r w:rsidRPr="004A7EDA">
        <w:rPr>
          <w:lang w:val="en-GB"/>
        </w:rPr>
        <w:t>of COVID-19 in rural and regional Victoria.</w:t>
      </w:r>
      <w:r w:rsidR="00ED270D">
        <w:rPr>
          <w:lang w:val="en-GB"/>
        </w:rPr>
        <w:t xml:space="preserve"> </w:t>
      </w:r>
      <w:r w:rsidRPr="004A7EDA">
        <w:rPr>
          <w:lang w:val="en-GB"/>
        </w:rPr>
        <w:t>This included the $51.3 million Agriculture Workforce Plan, through which RDV supported the delivery of 398 projects; the Crisis Committee of Cabinet (CCC) Infrastructure Stimulus package and the CCC Infrastructure Planning and Acceleration Fund, of which RDV supported the delivery of four and nine regional development projects respectively; and the COVID-19 Regional Recovery Fund, through which RDV supported the delivery of 54 projects.</w:t>
      </w:r>
    </w:p>
    <w:p w14:paraId="520C1125" w14:textId="77777777" w:rsidR="004A7EDA" w:rsidRPr="004A7EDA" w:rsidRDefault="004A7EDA" w:rsidP="004A7EDA">
      <w:pPr>
        <w:rPr>
          <w:lang w:val="en-GB"/>
        </w:rPr>
      </w:pPr>
      <w:r w:rsidRPr="004A7EDA">
        <w:rPr>
          <w:lang w:val="en-GB"/>
        </w:rPr>
        <w:lastRenderedPageBreak/>
        <w:t xml:space="preserve">RDV continues to support delivery of projects through the Regional Jobs and Infrastructure Fund (RJIF). In 2020–21 this consisted of 39 projects funded through round one of the Regional Infrastructure Fund including support for the Central Goldfields Shire Council Maryborough Railway Station Upgrade and Activation and the Port Campbell Town Centre Revitalisation Project. A further 12 projects were funded through the Regional Jobs Fund including supporting the $50 million redevelopment and modernisation of the H.W. Greenham and Sons meat processing facility at </w:t>
      </w:r>
      <w:proofErr w:type="spellStart"/>
      <w:r w:rsidRPr="004A7EDA">
        <w:rPr>
          <w:lang w:val="en-GB"/>
        </w:rPr>
        <w:t>Tongala</w:t>
      </w:r>
      <w:proofErr w:type="spellEnd"/>
      <w:r w:rsidRPr="004A7EDA">
        <w:rPr>
          <w:lang w:val="en-GB"/>
        </w:rPr>
        <w:t xml:space="preserve"> that will create 230 new jobs, and funding to Lancefield Brewery Holdings to facilitate investment in craft brewery development that will create 15 new jobs at Lancefield. </w:t>
      </w:r>
    </w:p>
    <w:p w14:paraId="33FA9D4C" w14:textId="77777777" w:rsidR="004A7EDA" w:rsidRPr="004A7EDA" w:rsidRDefault="004A7EDA" w:rsidP="004A7EDA">
      <w:pPr>
        <w:rPr>
          <w:lang w:val="en-GB"/>
        </w:rPr>
      </w:pPr>
      <w:r w:rsidRPr="004A7EDA">
        <w:rPr>
          <w:lang w:val="en-GB"/>
        </w:rPr>
        <w:t>These are in addition to the 10 projects funded through the 2019–20 RJIF, including funding to the Goodman Group to facilitate 50 new jobs in Portland to establish a specialised conveyancing centre for its Victorian operations, and funding to SCT Logistics to invest in infrastructure at its Wodonga rail terminal, creating an estimated 80 supply chain jobs in the plantation forestry sector.</w:t>
      </w:r>
    </w:p>
    <w:p w14:paraId="307132D2" w14:textId="3971324E" w:rsidR="004A7EDA" w:rsidRPr="004A7EDA" w:rsidRDefault="004A7EDA" w:rsidP="004A7EDA">
      <w:pPr>
        <w:rPr>
          <w:lang w:val="en-GB"/>
        </w:rPr>
      </w:pPr>
      <w:r w:rsidRPr="004A7EDA">
        <w:rPr>
          <w:lang w:val="en-GB"/>
        </w:rPr>
        <w:t>RDV continued to support delivery of the Geelong City Deal, a 10-year plan to revitalise Geelong</w:t>
      </w:r>
      <w:r w:rsidR="00ED270D">
        <w:rPr>
          <w:lang w:val="en-GB"/>
        </w:rPr>
        <w:t xml:space="preserve"> </w:t>
      </w:r>
      <w:r w:rsidRPr="004A7EDA">
        <w:rPr>
          <w:lang w:val="en-GB"/>
        </w:rPr>
        <w:t>and unlock the potential of the Great Ocean Road economy. This will deliver $370 million in government investment to the region and is estimated to create up to 1000 jobs through implementation of the projects under the City Deal.</w:t>
      </w:r>
    </w:p>
    <w:p w14:paraId="01B75D56" w14:textId="54931356" w:rsidR="004A7EDA" w:rsidRPr="004A7EDA" w:rsidRDefault="004A7EDA" w:rsidP="004A7EDA">
      <w:pPr>
        <w:rPr>
          <w:lang w:val="en-GB"/>
        </w:rPr>
      </w:pPr>
      <w:r w:rsidRPr="004A7EDA">
        <w:rPr>
          <w:lang w:val="en-GB"/>
        </w:rPr>
        <w:t xml:space="preserve">In 2020–21 RDV supported completion of the Ballarat and Latrobe Valley </w:t>
      </w:r>
      <w:proofErr w:type="spellStart"/>
      <w:r w:rsidRPr="004A7EDA">
        <w:rPr>
          <w:lang w:val="en-GB"/>
        </w:rPr>
        <w:t>GovHubs</w:t>
      </w:r>
      <w:proofErr w:type="spellEnd"/>
      <w:r w:rsidRPr="004A7EDA">
        <w:rPr>
          <w:lang w:val="en-GB"/>
        </w:rPr>
        <w:t xml:space="preserve">, which officially opened on 21 April 2021 and 7 July 2021 respectively. The Ballarat </w:t>
      </w:r>
      <w:proofErr w:type="spellStart"/>
      <w:r w:rsidRPr="004A7EDA">
        <w:rPr>
          <w:lang w:val="en-GB"/>
        </w:rPr>
        <w:t>GovHub</w:t>
      </w:r>
      <w:proofErr w:type="spellEnd"/>
      <w:r w:rsidRPr="004A7EDA">
        <w:rPr>
          <w:lang w:val="en-GB"/>
        </w:rPr>
        <w:t xml:space="preserve"> will house up to 1000 Victorian Government workers including up to 600 public sector positions relocated from Melbourne. This is expected to help revitalise a major part of the Ballarat CBD, generate long-term jobs growth, increase business </w:t>
      </w:r>
      <w:proofErr w:type="gramStart"/>
      <w:r w:rsidRPr="004A7EDA">
        <w:rPr>
          <w:lang w:val="en-GB"/>
        </w:rPr>
        <w:t>confidence</w:t>
      </w:r>
      <w:proofErr w:type="gramEnd"/>
      <w:r w:rsidRPr="004A7EDA">
        <w:rPr>
          <w:lang w:val="en-GB"/>
        </w:rPr>
        <w:t xml:space="preserve"> and attract further private sector investment. The Latrobe Valley </w:t>
      </w:r>
      <w:proofErr w:type="spellStart"/>
      <w:r w:rsidRPr="004A7EDA">
        <w:rPr>
          <w:lang w:val="en-GB"/>
        </w:rPr>
        <w:t>GovHub</w:t>
      </w:r>
      <w:proofErr w:type="spellEnd"/>
      <w:r w:rsidRPr="004A7EDA">
        <w:rPr>
          <w:lang w:val="en-GB"/>
        </w:rPr>
        <w:t xml:space="preserve"> will house 300 Victorian Government workers, including 200 new roles, and will provide</w:t>
      </w:r>
      <w:r w:rsidR="00ED270D">
        <w:rPr>
          <w:lang w:val="en-GB"/>
        </w:rPr>
        <w:t xml:space="preserve"> </w:t>
      </w:r>
      <w:r w:rsidRPr="004A7EDA">
        <w:rPr>
          <w:lang w:val="en-GB"/>
        </w:rPr>
        <w:t>a long-term annual boost of $15 million to the</w:t>
      </w:r>
      <w:r w:rsidR="00ED270D">
        <w:rPr>
          <w:lang w:val="en-GB"/>
        </w:rPr>
        <w:t xml:space="preserve"> </w:t>
      </w:r>
      <w:r w:rsidRPr="004A7EDA">
        <w:rPr>
          <w:lang w:val="en-GB"/>
        </w:rPr>
        <w:t>local economy.</w:t>
      </w:r>
    </w:p>
    <w:p w14:paraId="728464CF" w14:textId="77777777" w:rsidR="004A7EDA" w:rsidRPr="004A7EDA" w:rsidRDefault="004A7EDA" w:rsidP="004A7EDA">
      <w:pPr>
        <w:rPr>
          <w:lang w:val="en-GB"/>
        </w:rPr>
      </w:pPr>
      <w:r w:rsidRPr="004A7EDA">
        <w:rPr>
          <w:lang w:val="en-GB"/>
        </w:rPr>
        <w:t xml:space="preserve">In 2020–21 RDV commenced the Regional Workforce Pilots, which will support </w:t>
      </w:r>
      <w:proofErr w:type="gramStart"/>
      <w:r w:rsidRPr="004A7EDA">
        <w:rPr>
          <w:lang w:val="en-GB"/>
        </w:rPr>
        <w:t>a number of</w:t>
      </w:r>
      <w:proofErr w:type="gramEnd"/>
      <w:r w:rsidRPr="004A7EDA">
        <w:rPr>
          <w:lang w:val="en-GB"/>
        </w:rPr>
        <w:t xml:space="preserve"> regional workforce projects across pilot sites in the Barwon South West, Loddon Mallee, Hume and Grampians regions. These projects will test the effectiveness of different responses in place, and act as case studies for different types of regional workforce challenges and interventions.</w:t>
      </w:r>
    </w:p>
    <w:p w14:paraId="476AC3FC" w14:textId="77777777" w:rsidR="004A7EDA" w:rsidRPr="004A7EDA" w:rsidRDefault="004A7EDA" w:rsidP="00ED270D">
      <w:pPr>
        <w:pStyle w:val="Heading3"/>
        <w:rPr>
          <w:lang w:val="en-GB"/>
        </w:rPr>
      </w:pPr>
      <w:bookmarkStart w:id="14" w:name="_Toc87011075"/>
      <w:r w:rsidRPr="004A7EDA">
        <w:rPr>
          <w:lang w:val="en-GB"/>
        </w:rPr>
        <w:t xml:space="preserve">Performance </w:t>
      </w:r>
      <w:r w:rsidRPr="00ED270D">
        <w:t>against</w:t>
      </w:r>
      <w:r w:rsidRPr="004A7EDA">
        <w:rPr>
          <w:lang w:val="en-GB"/>
        </w:rPr>
        <w:t xml:space="preserve"> output performance measures</w:t>
      </w:r>
      <w:bookmarkEnd w:id="14"/>
    </w:p>
    <w:p w14:paraId="65ED8026" w14:textId="77777777" w:rsidR="004A7EDA" w:rsidRPr="004A7EDA" w:rsidRDefault="004A7EDA" w:rsidP="004A7EDA">
      <w:pPr>
        <w:rPr>
          <w:lang w:val="en-GB"/>
        </w:rPr>
      </w:pPr>
      <w:r w:rsidRPr="004A7EDA">
        <w:rPr>
          <w:lang w:val="en-GB"/>
        </w:rPr>
        <w:t>Table 11 represents performance against the Business Precincts output. This output delivers activities</w:t>
      </w:r>
      <w:r w:rsidRPr="004A7EDA">
        <w:rPr>
          <w:lang w:val="en-GB"/>
        </w:rPr>
        <w:br/>
        <w:t>to build vibrant and prosperous precincts that drive economic growth and opportunities. The department</w:t>
      </w:r>
      <w:r w:rsidRPr="004A7EDA">
        <w:rPr>
          <w:lang w:val="en-GB"/>
        </w:rPr>
        <w:br/>
        <w:t xml:space="preserve">works collaboratively with government, </w:t>
      </w:r>
      <w:proofErr w:type="gramStart"/>
      <w:r w:rsidRPr="004A7EDA">
        <w:rPr>
          <w:lang w:val="en-GB"/>
        </w:rPr>
        <w:t>industry</w:t>
      </w:r>
      <w:proofErr w:type="gramEnd"/>
      <w:r w:rsidRPr="004A7EDA">
        <w:rPr>
          <w:lang w:val="en-GB"/>
        </w:rPr>
        <w:t xml:space="preserve"> and community stakeholders to identify opportunities for</w:t>
      </w:r>
      <w:r w:rsidRPr="004A7EDA">
        <w:rPr>
          <w:lang w:val="en-GB"/>
        </w:rPr>
        <w:br/>
        <w:t>the development and delivery of initiatives to strengthen our economy, create jobs and improve liveability</w:t>
      </w:r>
      <w:r w:rsidRPr="004A7EDA">
        <w:rPr>
          <w:lang w:val="en-GB"/>
        </w:rPr>
        <w:br/>
        <w:t>for all Victorians.</w:t>
      </w:r>
    </w:p>
    <w:p w14:paraId="635A1755" w14:textId="261018A5" w:rsidR="004A7EDA" w:rsidRPr="004A7EDA" w:rsidRDefault="004A7EDA" w:rsidP="00ED270D">
      <w:pPr>
        <w:pStyle w:val="Heading5"/>
        <w:rPr>
          <w:lang w:val="en-GB"/>
        </w:rPr>
      </w:pPr>
      <w:r w:rsidRPr="004A7EDA">
        <w:rPr>
          <w:lang w:val="en-GB"/>
        </w:rPr>
        <w:t>Table 11: Output – Business Precincts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9"/>
        <w:gridCol w:w="964"/>
        <w:gridCol w:w="963"/>
        <w:gridCol w:w="964"/>
        <w:gridCol w:w="1304"/>
        <w:gridCol w:w="964"/>
      </w:tblGrid>
      <w:tr w:rsidR="004A7EDA" w:rsidRPr="004A7EDA" w14:paraId="353ED6D6" w14:textId="77777777" w:rsidTr="007B5F39">
        <w:trPr>
          <w:trHeight w:val="113"/>
        </w:trPr>
        <w:tc>
          <w:tcPr>
            <w:tcW w:w="4479" w:type="dxa"/>
            <w:shd w:val="clear" w:color="auto" w:fill="auto"/>
            <w:tcMar>
              <w:top w:w="113" w:type="dxa"/>
              <w:left w:w="28" w:type="dxa"/>
              <w:bottom w:w="113" w:type="dxa"/>
              <w:right w:w="28" w:type="dxa"/>
            </w:tcMar>
          </w:tcPr>
          <w:p w14:paraId="123DF671" w14:textId="77777777" w:rsidR="004A7EDA" w:rsidRPr="004A7EDA" w:rsidRDefault="004A7EDA" w:rsidP="00286AE3">
            <w:pPr>
              <w:pStyle w:val="TableHeading"/>
              <w:rPr>
                <w:lang w:val="en-GB"/>
              </w:rPr>
            </w:pPr>
            <w:r w:rsidRPr="004A7EDA">
              <w:rPr>
                <w:lang w:val="en-GB"/>
              </w:rPr>
              <w:t>Performance measures</w:t>
            </w:r>
          </w:p>
        </w:tc>
        <w:tc>
          <w:tcPr>
            <w:tcW w:w="964" w:type="dxa"/>
            <w:shd w:val="clear" w:color="auto" w:fill="auto"/>
            <w:tcMar>
              <w:top w:w="113" w:type="dxa"/>
              <w:left w:w="28" w:type="dxa"/>
              <w:bottom w:w="113" w:type="dxa"/>
              <w:right w:w="28" w:type="dxa"/>
            </w:tcMar>
          </w:tcPr>
          <w:p w14:paraId="6E24095E" w14:textId="77777777" w:rsidR="004A7EDA" w:rsidRPr="004A7EDA" w:rsidRDefault="004A7EDA" w:rsidP="00286AE3">
            <w:pPr>
              <w:pStyle w:val="TableHeading"/>
              <w:rPr>
                <w:lang w:val="en-GB"/>
              </w:rPr>
            </w:pPr>
            <w:r w:rsidRPr="004A7EDA">
              <w:rPr>
                <w:lang w:val="en-GB"/>
              </w:rPr>
              <w:t>Unit of measure</w:t>
            </w:r>
          </w:p>
        </w:tc>
        <w:tc>
          <w:tcPr>
            <w:tcW w:w="963" w:type="dxa"/>
            <w:shd w:val="clear" w:color="auto" w:fill="auto"/>
            <w:tcMar>
              <w:top w:w="113" w:type="dxa"/>
              <w:left w:w="28" w:type="dxa"/>
              <w:bottom w:w="113" w:type="dxa"/>
              <w:right w:w="28" w:type="dxa"/>
            </w:tcMar>
          </w:tcPr>
          <w:p w14:paraId="77883D74" w14:textId="77777777" w:rsidR="004A7EDA" w:rsidRPr="004A7EDA" w:rsidRDefault="004A7EDA" w:rsidP="00286AE3">
            <w:pPr>
              <w:pStyle w:val="TableHeading"/>
              <w:rPr>
                <w:lang w:val="en-GB"/>
              </w:rPr>
            </w:pPr>
            <w:r w:rsidRPr="004A7EDA">
              <w:rPr>
                <w:lang w:val="en-GB"/>
              </w:rPr>
              <w:t>2020–21 actual</w:t>
            </w:r>
          </w:p>
        </w:tc>
        <w:tc>
          <w:tcPr>
            <w:tcW w:w="964" w:type="dxa"/>
            <w:shd w:val="clear" w:color="auto" w:fill="auto"/>
            <w:tcMar>
              <w:top w:w="113" w:type="dxa"/>
              <w:left w:w="28" w:type="dxa"/>
              <w:bottom w:w="113" w:type="dxa"/>
              <w:right w:w="28" w:type="dxa"/>
            </w:tcMar>
          </w:tcPr>
          <w:p w14:paraId="40AA70F8" w14:textId="77777777" w:rsidR="004A7EDA" w:rsidRPr="004A7EDA" w:rsidRDefault="004A7EDA" w:rsidP="00286AE3">
            <w:pPr>
              <w:pStyle w:val="TableHeading"/>
              <w:rPr>
                <w:lang w:val="en-GB"/>
              </w:rPr>
            </w:pPr>
            <w:r w:rsidRPr="004A7EDA">
              <w:rPr>
                <w:lang w:val="en-GB"/>
              </w:rPr>
              <w:t>2020–21 target</w:t>
            </w:r>
          </w:p>
        </w:tc>
        <w:tc>
          <w:tcPr>
            <w:tcW w:w="1304" w:type="dxa"/>
            <w:shd w:val="clear" w:color="auto" w:fill="auto"/>
            <w:tcMar>
              <w:top w:w="113" w:type="dxa"/>
              <w:left w:w="28" w:type="dxa"/>
              <w:bottom w:w="113" w:type="dxa"/>
              <w:right w:w="28" w:type="dxa"/>
            </w:tcMar>
          </w:tcPr>
          <w:p w14:paraId="65BCAE3C" w14:textId="77777777" w:rsidR="004A7EDA" w:rsidRPr="004A7EDA" w:rsidRDefault="004A7EDA" w:rsidP="00286AE3">
            <w:pPr>
              <w:pStyle w:val="TableHeading"/>
              <w:rPr>
                <w:lang w:val="en-GB"/>
              </w:rPr>
            </w:pPr>
            <w:r w:rsidRPr="004A7EDA">
              <w:rPr>
                <w:lang w:val="en-GB"/>
              </w:rPr>
              <w:t>Performance variation (%)</w:t>
            </w:r>
          </w:p>
        </w:tc>
        <w:tc>
          <w:tcPr>
            <w:tcW w:w="964" w:type="dxa"/>
            <w:shd w:val="clear" w:color="auto" w:fill="auto"/>
            <w:tcMar>
              <w:top w:w="113" w:type="dxa"/>
              <w:left w:w="28" w:type="dxa"/>
              <w:bottom w:w="113" w:type="dxa"/>
              <w:right w:w="28" w:type="dxa"/>
            </w:tcMar>
          </w:tcPr>
          <w:p w14:paraId="12753354" w14:textId="77777777" w:rsidR="004A7EDA" w:rsidRPr="004A7EDA" w:rsidRDefault="004A7EDA" w:rsidP="00286AE3">
            <w:pPr>
              <w:pStyle w:val="TableHeading"/>
              <w:rPr>
                <w:lang w:val="en-GB"/>
              </w:rPr>
            </w:pPr>
            <w:r w:rsidRPr="004A7EDA">
              <w:rPr>
                <w:lang w:val="en-GB"/>
              </w:rPr>
              <w:t>Result</w:t>
            </w:r>
          </w:p>
        </w:tc>
      </w:tr>
      <w:tr w:rsidR="004A7EDA" w:rsidRPr="00C34B9B" w14:paraId="01686DC8" w14:textId="77777777" w:rsidTr="007B5F39">
        <w:trPr>
          <w:trHeight w:val="113"/>
        </w:trPr>
        <w:tc>
          <w:tcPr>
            <w:tcW w:w="9638" w:type="dxa"/>
            <w:gridSpan w:val="6"/>
            <w:shd w:val="clear" w:color="auto" w:fill="auto"/>
            <w:tcMar>
              <w:top w:w="113" w:type="dxa"/>
              <w:left w:w="28" w:type="dxa"/>
              <w:bottom w:w="113" w:type="dxa"/>
              <w:right w:w="28" w:type="dxa"/>
            </w:tcMar>
          </w:tcPr>
          <w:p w14:paraId="46C4A7DC" w14:textId="77777777" w:rsidR="004A7EDA" w:rsidRPr="00C34B9B" w:rsidRDefault="004A7EDA" w:rsidP="00286AE3">
            <w:pPr>
              <w:pStyle w:val="TableCopy"/>
            </w:pPr>
            <w:r w:rsidRPr="00C34B9B">
              <w:t>Quantity</w:t>
            </w:r>
          </w:p>
        </w:tc>
      </w:tr>
      <w:tr w:rsidR="004A7EDA" w:rsidRPr="004A7EDA" w14:paraId="660E78D2" w14:textId="77777777" w:rsidTr="007B5F39">
        <w:trPr>
          <w:trHeight w:val="113"/>
        </w:trPr>
        <w:tc>
          <w:tcPr>
            <w:tcW w:w="4479" w:type="dxa"/>
            <w:shd w:val="clear" w:color="auto" w:fill="auto"/>
            <w:tcMar>
              <w:top w:w="113" w:type="dxa"/>
              <w:left w:w="28" w:type="dxa"/>
              <w:bottom w:w="113" w:type="dxa"/>
              <w:right w:w="28" w:type="dxa"/>
            </w:tcMar>
          </w:tcPr>
          <w:p w14:paraId="1E483061" w14:textId="77777777" w:rsidR="004A7EDA" w:rsidRPr="004A7EDA" w:rsidRDefault="004A7EDA" w:rsidP="00286AE3">
            <w:pPr>
              <w:pStyle w:val="TableCopy"/>
              <w:rPr>
                <w:lang w:val="en-GB"/>
              </w:rPr>
            </w:pPr>
            <w:r w:rsidRPr="004A7EDA">
              <w:rPr>
                <w:lang w:val="en-GB"/>
              </w:rPr>
              <w:t>Precincts in the design or delivery phase</w:t>
            </w:r>
          </w:p>
        </w:tc>
        <w:tc>
          <w:tcPr>
            <w:tcW w:w="964" w:type="dxa"/>
            <w:shd w:val="clear" w:color="auto" w:fill="auto"/>
            <w:tcMar>
              <w:top w:w="113" w:type="dxa"/>
              <w:left w:w="28" w:type="dxa"/>
              <w:bottom w:w="113" w:type="dxa"/>
              <w:right w:w="28" w:type="dxa"/>
            </w:tcMar>
          </w:tcPr>
          <w:p w14:paraId="5274BED9"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63CA665B" w14:textId="77777777" w:rsidR="004A7EDA" w:rsidRPr="004A7EDA" w:rsidRDefault="004A7EDA" w:rsidP="00286AE3">
            <w:pPr>
              <w:pStyle w:val="TableCopy"/>
              <w:rPr>
                <w:lang w:val="en-GB"/>
              </w:rPr>
            </w:pPr>
            <w:r w:rsidRPr="004A7EDA">
              <w:rPr>
                <w:lang w:val="en-GB"/>
              </w:rPr>
              <w:t>4</w:t>
            </w:r>
          </w:p>
        </w:tc>
        <w:tc>
          <w:tcPr>
            <w:tcW w:w="964" w:type="dxa"/>
            <w:shd w:val="clear" w:color="auto" w:fill="auto"/>
            <w:tcMar>
              <w:top w:w="113" w:type="dxa"/>
              <w:left w:w="28" w:type="dxa"/>
              <w:bottom w:w="113" w:type="dxa"/>
              <w:right w:w="28" w:type="dxa"/>
            </w:tcMar>
          </w:tcPr>
          <w:p w14:paraId="66C59935" w14:textId="77777777" w:rsidR="004A7EDA" w:rsidRPr="004A7EDA" w:rsidRDefault="004A7EDA" w:rsidP="00286AE3">
            <w:pPr>
              <w:pStyle w:val="TableCopy"/>
              <w:rPr>
                <w:lang w:val="en-GB"/>
              </w:rPr>
            </w:pPr>
            <w:r w:rsidRPr="004A7EDA">
              <w:rPr>
                <w:lang w:val="en-GB"/>
              </w:rPr>
              <w:t>7</w:t>
            </w:r>
          </w:p>
        </w:tc>
        <w:tc>
          <w:tcPr>
            <w:tcW w:w="1304" w:type="dxa"/>
            <w:shd w:val="clear" w:color="auto" w:fill="auto"/>
            <w:tcMar>
              <w:top w:w="113" w:type="dxa"/>
              <w:left w:w="28" w:type="dxa"/>
              <w:bottom w:w="113" w:type="dxa"/>
              <w:right w:w="28" w:type="dxa"/>
            </w:tcMar>
          </w:tcPr>
          <w:p w14:paraId="45937286" w14:textId="77777777" w:rsidR="004A7EDA" w:rsidRPr="004A7EDA" w:rsidRDefault="004A7EDA" w:rsidP="00286AE3">
            <w:pPr>
              <w:pStyle w:val="TableCopy"/>
              <w:rPr>
                <w:lang w:val="en-GB"/>
              </w:rPr>
            </w:pPr>
            <w:r w:rsidRPr="004A7EDA">
              <w:rPr>
                <w:lang w:val="en-GB"/>
              </w:rPr>
              <w:t>-42.9%</w:t>
            </w:r>
          </w:p>
        </w:tc>
        <w:tc>
          <w:tcPr>
            <w:tcW w:w="964" w:type="dxa"/>
            <w:shd w:val="clear" w:color="auto" w:fill="auto"/>
            <w:tcMar>
              <w:top w:w="113" w:type="dxa"/>
              <w:left w:w="28" w:type="dxa"/>
              <w:bottom w:w="113" w:type="dxa"/>
              <w:right w:w="28" w:type="dxa"/>
            </w:tcMar>
          </w:tcPr>
          <w:p w14:paraId="449D6A94" w14:textId="470D174E" w:rsidR="004A7EDA" w:rsidRPr="004A7EDA" w:rsidRDefault="00485B24" w:rsidP="00286AE3">
            <w:pPr>
              <w:pStyle w:val="TableCopy"/>
              <w:rPr>
                <w:lang w:val="en-GB"/>
              </w:rPr>
            </w:pPr>
            <w:r>
              <w:rPr>
                <w:lang w:val="en-GB"/>
              </w:rPr>
              <w:t>#</w:t>
            </w:r>
          </w:p>
        </w:tc>
      </w:tr>
      <w:tr w:rsidR="004A7EDA" w:rsidRPr="00C34B9B" w14:paraId="66DE5F10" w14:textId="77777777" w:rsidTr="007B5F39">
        <w:trPr>
          <w:trHeight w:val="113"/>
        </w:trPr>
        <w:tc>
          <w:tcPr>
            <w:tcW w:w="9638" w:type="dxa"/>
            <w:gridSpan w:val="6"/>
            <w:shd w:val="clear" w:color="auto" w:fill="auto"/>
            <w:tcMar>
              <w:top w:w="113" w:type="dxa"/>
              <w:left w:w="113" w:type="dxa"/>
              <w:bottom w:w="113" w:type="dxa"/>
              <w:right w:w="113" w:type="dxa"/>
            </w:tcMar>
          </w:tcPr>
          <w:p w14:paraId="543DEDF3" w14:textId="77777777" w:rsidR="004A7EDA" w:rsidRPr="00C34B9B" w:rsidRDefault="004A7EDA" w:rsidP="00286AE3">
            <w:pPr>
              <w:pStyle w:val="TableCopy"/>
            </w:pPr>
            <w:r w:rsidRPr="00C34B9B">
              <w:t xml:space="preserve">Lower result due to the three precincts which were previously measured by the department having moved to the Department of Transport, following a machinery of government change. The precincts of </w:t>
            </w:r>
            <w:proofErr w:type="spellStart"/>
            <w:r w:rsidRPr="00C34B9B">
              <w:t>Fishermans</w:t>
            </w:r>
            <w:proofErr w:type="spellEnd"/>
            <w:r w:rsidRPr="00C34B9B">
              <w:t xml:space="preserve"> Bend, Docklands, </w:t>
            </w:r>
            <w:proofErr w:type="spellStart"/>
            <w:r w:rsidRPr="00C34B9B">
              <w:t>Footscray</w:t>
            </w:r>
            <w:proofErr w:type="spellEnd"/>
            <w:r w:rsidRPr="00C34B9B">
              <w:t xml:space="preserve"> and Parkville are the four remaining precincts within the department measured as part of the output.</w:t>
            </w:r>
          </w:p>
        </w:tc>
      </w:tr>
      <w:tr w:rsidR="004A7EDA" w:rsidRPr="00C34B9B" w14:paraId="07B39097" w14:textId="77777777" w:rsidTr="007B5F39">
        <w:trPr>
          <w:trHeight w:val="113"/>
        </w:trPr>
        <w:tc>
          <w:tcPr>
            <w:tcW w:w="9638" w:type="dxa"/>
            <w:gridSpan w:val="6"/>
            <w:shd w:val="clear" w:color="auto" w:fill="auto"/>
            <w:tcMar>
              <w:top w:w="113" w:type="dxa"/>
              <w:left w:w="28" w:type="dxa"/>
              <w:bottom w:w="113" w:type="dxa"/>
              <w:right w:w="28" w:type="dxa"/>
            </w:tcMar>
          </w:tcPr>
          <w:p w14:paraId="7BF1D634" w14:textId="77777777" w:rsidR="004A7EDA" w:rsidRPr="00C34B9B" w:rsidRDefault="004A7EDA" w:rsidP="00286AE3">
            <w:pPr>
              <w:pStyle w:val="TableCopy"/>
            </w:pPr>
            <w:r w:rsidRPr="00C34B9B">
              <w:t>Quality</w:t>
            </w:r>
          </w:p>
        </w:tc>
      </w:tr>
      <w:tr w:rsidR="004A7EDA" w:rsidRPr="004A7EDA" w14:paraId="142D20FE" w14:textId="77777777" w:rsidTr="007B5F39">
        <w:trPr>
          <w:trHeight w:val="113"/>
        </w:trPr>
        <w:tc>
          <w:tcPr>
            <w:tcW w:w="4479" w:type="dxa"/>
            <w:shd w:val="clear" w:color="auto" w:fill="auto"/>
            <w:tcMar>
              <w:top w:w="113" w:type="dxa"/>
              <w:left w:w="28" w:type="dxa"/>
              <w:bottom w:w="113" w:type="dxa"/>
              <w:right w:w="28" w:type="dxa"/>
            </w:tcMar>
          </w:tcPr>
          <w:p w14:paraId="0EBEA289" w14:textId="6E99AF91" w:rsidR="004A7EDA" w:rsidRPr="004A7EDA" w:rsidRDefault="004A7EDA" w:rsidP="00286AE3">
            <w:pPr>
              <w:pStyle w:val="TableCopy"/>
              <w:rPr>
                <w:lang w:val="en-GB"/>
              </w:rPr>
            </w:pPr>
            <w:r w:rsidRPr="004A7EDA">
              <w:rPr>
                <w:lang w:val="en-GB"/>
              </w:rPr>
              <w:t>Key stakeholders satisfied with the services provided</w:t>
            </w:r>
            <w:r w:rsidR="00ED270D">
              <w:rPr>
                <w:lang w:val="en-GB"/>
              </w:rPr>
              <w:t xml:space="preserve"> </w:t>
            </w:r>
            <w:r w:rsidRPr="004A7EDA">
              <w:rPr>
                <w:lang w:val="en-GB"/>
              </w:rPr>
              <w:t>in relation to precincts</w:t>
            </w:r>
          </w:p>
        </w:tc>
        <w:tc>
          <w:tcPr>
            <w:tcW w:w="964" w:type="dxa"/>
            <w:shd w:val="clear" w:color="auto" w:fill="auto"/>
            <w:tcMar>
              <w:top w:w="113" w:type="dxa"/>
              <w:left w:w="28" w:type="dxa"/>
              <w:bottom w:w="113" w:type="dxa"/>
              <w:right w:w="28" w:type="dxa"/>
            </w:tcMar>
          </w:tcPr>
          <w:p w14:paraId="426E25A8"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16A7673D" w14:textId="77777777" w:rsidR="004A7EDA" w:rsidRPr="004A7EDA" w:rsidRDefault="004A7EDA" w:rsidP="00286AE3">
            <w:pPr>
              <w:pStyle w:val="TableCopy"/>
              <w:rPr>
                <w:lang w:val="en-GB"/>
              </w:rPr>
            </w:pPr>
            <w:r w:rsidRPr="004A7EDA">
              <w:rPr>
                <w:lang w:val="en-GB"/>
              </w:rPr>
              <w:t>83</w:t>
            </w:r>
          </w:p>
        </w:tc>
        <w:tc>
          <w:tcPr>
            <w:tcW w:w="964" w:type="dxa"/>
            <w:shd w:val="clear" w:color="auto" w:fill="auto"/>
            <w:tcMar>
              <w:top w:w="113" w:type="dxa"/>
              <w:left w:w="28" w:type="dxa"/>
              <w:bottom w:w="113" w:type="dxa"/>
              <w:right w:w="28" w:type="dxa"/>
            </w:tcMar>
          </w:tcPr>
          <w:p w14:paraId="2F305465" w14:textId="77777777" w:rsidR="004A7EDA" w:rsidRPr="004A7EDA" w:rsidRDefault="004A7EDA" w:rsidP="00286AE3">
            <w:pPr>
              <w:pStyle w:val="TableCopy"/>
              <w:rPr>
                <w:lang w:val="en-GB"/>
              </w:rPr>
            </w:pPr>
            <w:r w:rsidRPr="004A7EDA">
              <w:rPr>
                <w:lang w:val="en-GB"/>
              </w:rPr>
              <w:t>80</w:t>
            </w:r>
          </w:p>
        </w:tc>
        <w:tc>
          <w:tcPr>
            <w:tcW w:w="1304" w:type="dxa"/>
            <w:shd w:val="clear" w:color="auto" w:fill="auto"/>
            <w:tcMar>
              <w:top w:w="113" w:type="dxa"/>
              <w:left w:w="28" w:type="dxa"/>
              <w:bottom w:w="113" w:type="dxa"/>
              <w:right w:w="28" w:type="dxa"/>
            </w:tcMar>
          </w:tcPr>
          <w:p w14:paraId="6C227A3C" w14:textId="77777777" w:rsidR="004A7EDA" w:rsidRPr="004A7EDA" w:rsidRDefault="004A7EDA" w:rsidP="00286AE3">
            <w:pPr>
              <w:pStyle w:val="TableCopy"/>
              <w:rPr>
                <w:lang w:val="en-GB"/>
              </w:rPr>
            </w:pPr>
            <w:r w:rsidRPr="004A7EDA">
              <w:rPr>
                <w:lang w:val="en-GB"/>
              </w:rPr>
              <w:t>3.8%</w:t>
            </w:r>
          </w:p>
        </w:tc>
        <w:tc>
          <w:tcPr>
            <w:tcW w:w="964" w:type="dxa"/>
            <w:shd w:val="clear" w:color="auto" w:fill="auto"/>
            <w:tcMar>
              <w:top w:w="113" w:type="dxa"/>
              <w:left w:w="28" w:type="dxa"/>
              <w:bottom w:w="113" w:type="dxa"/>
              <w:right w:w="28" w:type="dxa"/>
            </w:tcMar>
          </w:tcPr>
          <w:p w14:paraId="01B83DF2" w14:textId="5E91496D" w:rsidR="004A7EDA" w:rsidRPr="004A7EDA" w:rsidRDefault="00485B24" w:rsidP="00286AE3">
            <w:pPr>
              <w:pStyle w:val="TableCopy"/>
              <w:rPr>
                <w:lang w:val="en-GB"/>
              </w:rPr>
            </w:pPr>
            <w:r>
              <w:rPr>
                <w:lang w:val="en-GB"/>
              </w:rPr>
              <w:t>*</w:t>
            </w:r>
          </w:p>
        </w:tc>
      </w:tr>
      <w:tr w:rsidR="004A7EDA" w:rsidRPr="00C34B9B" w14:paraId="0EFC3585" w14:textId="77777777" w:rsidTr="007B5F39">
        <w:trPr>
          <w:trHeight w:val="113"/>
        </w:trPr>
        <w:tc>
          <w:tcPr>
            <w:tcW w:w="9638" w:type="dxa"/>
            <w:gridSpan w:val="6"/>
            <w:shd w:val="clear" w:color="auto" w:fill="auto"/>
            <w:tcMar>
              <w:top w:w="113" w:type="dxa"/>
              <w:left w:w="28" w:type="dxa"/>
              <w:bottom w:w="113" w:type="dxa"/>
              <w:right w:w="28" w:type="dxa"/>
            </w:tcMar>
          </w:tcPr>
          <w:p w14:paraId="22576CF8" w14:textId="77777777" w:rsidR="004A7EDA" w:rsidRPr="00C34B9B" w:rsidRDefault="004A7EDA" w:rsidP="00286AE3">
            <w:pPr>
              <w:pStyle w:val="TableCopy"/>
            </w:pPr>
            <w:r w:rsidRPr="00C34B9B">
              <w:t>Timeliness</w:t>
            </w:r>
          </w:p>
        </w:tc>
      </w:tr>
      <w:tr w:rsidR="004A7EDA" w:rsidRPr="004A7EDA" w14:paraId="769AF76F" w14:textId="77777777" w:rsidTr="007B5F39">
        <w:trPr>
          <w:trHeight w:val="113"/>
        </w:trPr>
        <w:tc>
          <w:tcPr>
            <w:tcW w:w="4479" w:type="dxa"/>
            <w:shd w:val="clear" w:color="auto" w:fill="auto"/>
            <w:tcMar>
              <w:top w:w="113" w:type="dxa"/>
              <w:left w:w="28" w:type="dxa"/>
              <w:bottom w:w="113" w:type="dxa"/>
              <w:right w:w="28" w:type="dxa"/>
            </w:tcMar>
          </w:tcPr>
          <w:p w14:paraId="7C9DF778" w14:textId="77777777" w:rsidR="004A7EDA" w:rsidRPr="004A7EDA" w:rsidRDefault="004A7EDA" w:rsidP="00286AE3">
            <w:pPr>
              <w:pStyle w:val="TableCopy"/>
              <w:rPr>
                <w:lang w:val="en-GB"/>
              </w:rPr>
            </w:pPr>
            <w:r w:rsidRPr="004A7EDA">
              <w:rPr>
                <w:lang w:val="en-GB"/>
              </w:rPr>
              <w:t>Delivery of financial obligations for departmental</w:t>
            </w:r>
            <w:r w:rsidRPr="004A7EDA">
              <w:rPr>
                <w:lang w:val="en-GB"/>
              </w:rPr>
              <w:br/>
              <w:t>public private partnership projects in accordance</w:t>
            </w:r>
            <w:r w:rsidRPr="004A7EDA">
              <w:rPr>
                <w:lang w:val="en-GB"/>
              </w:rPr>
              <w:br/>
              <w:t>with contractual timelines</w:t>
            </w:r>
          </w:p>
        </w:tc>
        <w:tc>
          <w:tcPr>
            <w:tcW w:w="964" w:type="dxa"/>
            <w:shd w:val="clear" w:color="auto" w:fill="auto"/>
            <w:tcMar>
              <w:top w:w="113" w:type="dxa"/>
              <w:left w:w="28" w:type="dxa"/>
              <w:bottom w:w="113" w:type="dxa"/>
              <w:right w:w="28" w:type="dxa"/>
            </w:tcMar>
          </w:tcPr>
          <w:p w14:paraId="532BB3B9"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4E9AA73C" w14:textId="77777777" w:rsidR="004A7EDA" w:rsidRPr="004A7EDA" w:rsidRDefault="004A7EDA" w:rsidP="00286AE3">
            <w:pPr>
              <w:pStyle w:val="TableCopy"/>
              <w:rPr>
                <w:lang w:val="en-GB"/>
              </w:rPr>
            </w:pPr>
            <w:r w:rsidRPr="004A7EDA">
              <w:rPr>
                <w:lang w:val="en-GB"/>
              </w:rPr>
              <w:t>100</w:t>
            </w:r>
          </w:p>
        </w:tc>
        <w:tc>
          <w:tcPr>
            <w:tcW w:w="964" w:type="dxa"/>
            <w:shd w:val="clear" w:color="auto" w:fill="auto"/>
            <w:tcMar>
              <w:top w:w="113" w:type="dxa"/>
              <w:left w:w="28" w:type="dxa"/>
              <w:bottom w:w="113" w:type="dxa"/>
              <w:right w:w="28" w:type="dxa"/>
            </w:tcMar>
          </w:tcPr>
          <w:p w14:paraId="1E0E7946" w14:textId="77777777" w:rsidR="004A7EDA" w:rsidRPr="004A7EDA" w:rsidRDefault="004A7EDA" w:rsidP="00286AE3">
            <w:pPr>
              <w:pStyle w:val="TableCopy"/>
              <w:rPr>
                <w:lang w:val="en-GB"/>
              </w:rPr>
            </w:pPr>
            <w:r w:rsidRPr="004A7EDA">
              <w:rPr>
                <w:lang w:val="en-GB"/>
              </w:rPr>
              <w:t>85</w:t>
            </w:r>
          </w:p>
        </w:tc>
        <w:tc>
          <w:tcPr>
            <w:tcW w:w="1304" w:type="dxa"/>
            <w:shd w:val="clear" w:color="auto" w:fill="auto"/>
            <w:tcMar>
              <w:top w:w="113" w:type="dxa"/>
              <w:left w:w="28" w:type="dxa"/>
              <w:bottom w:w="113" w:type="dxa"/>
              <w:right w:w="28" w:type="dxa"/>
            </w:tcMar>
          </w:tcPr>
          <w:p w14:paraId="2C4F290E" w14:textId="77777777" w:rsidR="004A7EDA" w:rsidRPr="004A7EDA" w:rsidRDefault="004A7EDA" w:rsidP="00286AE3">
            <w:pPr>
              <w:pStyle w:val="TableCopy"/>
              <w:rPr>
                <w:lang w:val="en-GB"/>
              </w:rPr>
            </w:pPr>
            <w:r w:rsidRPr="004A7EDA">
              <w:rPr>
                <w:lang w:val="en-GB"/>
              </w:rPr>
              <w:t>17.6%</w:t>
            </w:r>
          </w:p>
        </w:tc>
        <w:tc>
          <w:tcPr>
            <w:tcW w:w="964" w:type="dxa"/>
            <w:shd w:val="clear" w:color="auto" w:fill="auto"/>
            <w:tcMar>
              <w:top w:w="113" w:type="dxa"/>
              <w:left w:w="28" w:type="dxa"/>
              <w:bottom w:w="113" w:type="dxa"/>
              <w:right w:w="28" w:type="dxa"/>
            </w:tcMar>
          </w:tcPr>
          <w:p w14:paraId="73E6C185" w14:textId="54DD5B57" w:rsidR="004A7EDA" w:rsidRPr="004A7EDA" w:rsidRDefault="009B1E39" w:rsidP="00286AE3">
            <w:pPr>
              <w:pStyle w:val="TableCopy"/>
              <w:rPr>
                <w:lang w:val="en-GB"/>
              </w:rPr>
            </w:pPr>
            <w:r>
              <w:rPr>
                <w:lang w:val="en-GB"/>
              </w:rPr>
              <w:t>*</w:t>
            </w:r>
          </w:p>
        </w:tc>
      </w:tr>
      <w:tr w:rsidR="004A7EDA" w:rsidRPr="00C34B9B" w14:paraId="2C98CE8D" w14:textId="77777777" w:rsidTr="007B5F39">
        <w:trPr>
          <w:trHeight w:val="113"/>
        </w:trPr>
        <w:tc>
          <w:tcPr>
            <w:tcW w:w="9638" w:type="dxa"/>
            <w:gridSpan w:val="6"/>
            <w:shd w:val="clear" w:color="auto" w:fill="auto"/>
            <w:tcMar>
              <w:top w:w="113" w:type="dxa"/>
              <w:left w:w="113" w:type="dxa"/>
              <w:bottom w:w="113" w:type="dxa"/>
              <w:right w:w="113" w:type="dxa"/>
            </w:tcMar>
          </w:tcPr>
          <w:p w14:paraId="321361B9" w14:textId="77777777" w:rsidR="004A7EDA" w:rsidRPr="00C34B9B" w:rsidRDefault="004A7EDA" w:rsidP="00286AE3">
            <w:pPr>
              <w:pStyle w:val="TableCopy"/>
            </w:pPr>
            <w:r w:rsidRPr="00C34B9B">
              <w:t>Higher result due to the department having met all contractually required financial commitments for the Public Private Partnership projects it is responsible for within required timeframes for the year.</w:t>
            </w:r>
          </w:p>
        </w:tc>
      </w:tr>
      <w:tr w:rsidR="004A7EDA" w:rsidRPr="00C34B9B" w14:paraId="02DC7C7D" w14:textId="77777777" w:rsidTr="007B5F39">
        <w:trPr>
          <w:trHeight w:val="113"/>
        </w:trPr>
        <w:tc>
          <w:tcPr>
            <w:tcW w:w="9638" w:type="dxa"/>
            <w:gridSpan w:val="6"/>
            <w:shd w:val="clear" w:color="auto" w:fill="auto"/>
            <w:tcMar>
              <w:top w:w="113" w:type="dxa"/>
              <w:left w:w="28" w:type="dxa"/>
              <w:bottom w:w="113" w:type="dxa"/>
              <w:right w:w="28" w:type="dxa"/>
            </w:tcMar>
          </w:tcPr>
          <w:p w14:paraId="7D38B09D" w14:textId="77777777" w:rsidR="004A7EDA" w:rsidRPr="00C34B9B" w:rsidRDefault="004A7EDA" w:rsidP="00286AE3">
            <w:pPr>
              <w:pStyle w:val="TableCopy"/>
            </w:pPr>
            <w:r w:rsidRPr="00C34B9B">
              <w:t>Cost</w:t>
            </w:r>
          </w:p>
        </w:tc>
      </w:tr>
      <w:tr w:rsidR="004A7EDA" w:rsidRPr="004A7EDA" w14:paraId="76921776" w14:textId="77777777" w:rsidTr="007B5F39">
        <w:trPr>
          <w:trHeight w:val="113"/>
        </w:trPr>
        <w:tc>
          <w:tcPr>
            <w:tcW w:w="4479" w:type="dxa"/>
            <w:shd w:val="clear" w:color="auto" w:fill="auto"/>
            <w:tcMar>
              <w:top w:w="113" w:type="dxa"/>
              <w:left w:w="28" w:type="dxa"/>
              <w:bottom w:w="113" w:type="dxa"/>
              <w:right w:w="28" w:type="dxa"/>
            </w:tcMar>
          </w:tcPr>
          <w:p w14:paraId="5FA067DA" w14:textId="77777777" w:rsidR="004A7EDA" w:rsidRPr="004A7EDA" w:rsidRDefault="004A7EDA" w:rsidP="00286AE3">
            <w:pPr>
              <w:pStyle w:val="TableCopy"/>
              <w:rPr>
                <w:lang w:val="en-GB"/>
              </w:rPr>
            </w:pPr>
            <w:r w:rsidRPr="004A7EDA">
              <w:rPr>
                <w:lang w:val="en-GB"/>
              </w:rPr>
              <w:lastRenderedPageBreak/>
              <w:t>Total output cost</w:t>
            </w:r>
          </w:p>
        </w:tc>
        <w:tc>
          <w:tcPr>
            <w:tcW w:w="964" w:type="dxa"/>
            <w:shd w:val="clear" w:color="auto" w:fill="auto"/>
            <w:tcMar>
              <w:top w:w="113" w:type="dxa"/>
              <w:left w:w="28" w:type="dxa"/>
              <w:bottom w:w="113" w:type="dxa"/>
              <w:right w:w="28" w:type="dxa"/>
            </w:tcMar>
          </w:tcPr>
          <w:p w14:paraId="27BD08FD" w14:textId="77777777" w:rsidR="004A7EDA" w:rsidRPr="004A7EDA" w:rsidRDefault="004A7EDA" w:rsidP="00286AE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1A0EA6E2" w14:textId="77777777" w:rsidR="004A7EDA" w:rsidRPr="004A7EDA" w:rsidRDefault="004A7EDA" w:rsidP="00286AE3">
            <w:pPr>
              <w:pStyle w:val="TableCopy"/>
              <w:rPr>
                <w:lang w:val="en-GB"/>
              </w:rPr>
            </w:pPr>
            <w:r w:rsidRPr="004A7EDA">
              <w:rPr>
                <w:lang w:val="en-GB"/>
              </w:rPr>
              <w:t>28</w:t>
            </w:r>
          </w:p>
        </w:tc>
        <w:tc>
          <w:tcPr>
            <w:tcW w:w="964" w:type="dxa"/>
            <w:shd w:val="clear" w:color="auto" w:fill="auto"/>
            <w:tcMar>
              <w:top w:w="113" w:type="dxa"/>
              <w:left w:w="28" w:type="dxa"/>
              <w:bottom w:w="113" w:type="dxa"/>
              <w:right w:w="28" w:type="dxa"/>
            </w:tcMar>
          </w:tcPr>
          <w:p w14:paraId="3F24DED4" w14:textId="77777777" w:rsidR="004A7EDA" w:rsidRPr="004A7EDA" w:rsidRDefault="004A7EDA" w:rsidP="00286AE3">
            <w:pPr>
              <w:pStyle w:val="TableCopy"/>
              <w:rPr>
                <w:lang w:val="en-GB"/>
              </w:rPr>
            </w:pPr>
            <w:r w:rsidRPr="004A7EDA">
              <w:rPr>
                <w:lang w:val="en-GB"/>
              </w:rPr>
              <w:t>24.4</w:t>
            </w:r>
          </w:p>
        </w:tc>
        <w:tc>
          <w:tcPr>
            <w:tcW w:w="1304" w:type="dxa"/>
            <w:shd w:val="clear" w:color="auto" w:fill="auto"/>
            <w:tcMar>
              <w:top w:w="113" w:type="dxa"/>
              <w:left w:w="28" w:type="dxa"/>
              <w:bottom w:w="113" w:type="dxa"/>
              <w:right w:w="28" w:type="dxa"/>
            </w:tcMar>
          </w:tcPr>
          <w:p w14:paraId="048543BC" w14:textId="77777777" w:rsidR="004A7EDA" w:rsidRPr="004A7EDA" w:rsidRDefault="004A7EDA" w:rsidP="00286AE3">
            <w:pPr>
              <w:pStyle w:val="TableCopy"/>
              <w:rPr>
                <w:lang w:val="en-GB"/>
              </w:rPr>
            </w:pPr>
            <w:r w:rsidRPr="004A7EDA">
              <w:rPr>
                <w:lang w:val="en-GB"/>
              </w:rPr>
              <w:t>14.6%</w:t>
            </w:r>
          </w:p>
        </w:tc>
        <w:tc>
          <w:tcPr>
            <w:tcW w:w="964" w:type="dxa"/>
            <w:shd w:val="clear" w:color="auto" w:fill="auto"/>
            <w:tcMar>
              <w:top w:w="113" w:type="dxa"/>
              <w:left w:w="28" w:type="dxa"/>
              <w:bottom w:w="113" w:type="dxa"/>
              <w:right w:w="28" w:type="dxa"/>
            </w:tcMar>
          </w:tcPr>
          <w:p w14:paraId="0784392D" w14:textId="41C4E7F6" w:rsidR="004A7EDA" w:rsidRPr="004A7EDA" w:rsidRDefault="009B1E39" w:rsidP="00286AE3">
            <w:pPr>
              <w:pStyle w:val="TableCopy"/>
              <w:rPr>
                <w:lang w:val="en-GB"/>
              </w:rPr>
            </w:pPr>
            <w:r>
              <w:rPr>
                <w:lang w:val="en-GB"/>
              </w:rPr>
              <w:t>#</w:t>
            </w:r>
          </w:p>
        </w:tc>
      </w:tr>
      <w:tr w:rsidR="004A7EDA" w:rsidRPr="00C34B9B" w14:paraId="1D490409" w14:textId="77777777" w:rsidTr="007B5F39">
        <w:trPr>
          <w:trHeight w:val="113"/>
        </w:trPr>
        <w:tc>
          <w:tcPr>
            <w:tcW w:w="9638" w:type="dxa"/>
            <w:gridSpan w:val="6"/>
            <w:shd w:val="clear" w:color="auto" w:fill="auto"/>
            <w:tcMar>
              <w:top w:w="113" w:type="dxa"/>
              <w:left w:w="113" w:type="dxa"/>
              <w:bottom w:w="113" w:type="dxa"/>
              <w:right w:w="113" w:type="dxa"/>
            </w:tcMar>
          </w:tcPr>
          <w:p w14:paraId="5D9AF8D6" w14:textId="77777777" w:rsidR="004A7EDA" w:rsidRPr="00C34B9B" w:rsidRDefault="004A7EDA" w:rsidP="00286AE3">
            <w:pPr>
              <w:pStyle w:val="TableCopy"/>
            </w:pPr>
            <w:r w:rsidRPr="00C34B9B">
              <w:t>The 2020–21 result was higher than the 2020–21 budget mainly due to a funding realignment of capital funding to operating funding.</w:t>
            </w:r>
          </w:p>
        </w:tc>
      </w:tr>
    </w:tbl>
    <w:p w14:paraId="76FF96B9" w14:textId="36CF2F3D" w:rsidR="004A7EDA" w:rsidRPr="004A7EDA" w:rsidRDefault="00286AE3" w:rsidP="004A7EDA">
      <w:pPr>
        <w:rPr>
          <w:lang w:val="en-GB"/>
        </w:rPr>
      </w:pPr>
      <w:r w:rsidRPr="00C34B9B">
        <w:t>Note:</w:t>
      </w:r>
      <w:r w:rsidRPr="00C34B9B">
        <w:t> </w:t>
      </w:r>
      <w:r w:rsidRPr="00C34B9B">
        <w:br/>
        <w:t>* Performance target achieved or exceeded</w:t>
      </w:r>
      <w:r w:rsidRPr="00C34B9B">
        <w:br/>
        <w:t>– Performance target not achieved – within 5 per cent variance</w:t>
      </w:r>
      <w:r w:rsidRPr="00C34B9B">
        <w:br/>
        <w:t># Performance target not achieved – exceeds 5 per cent variance</w:t>
      </w:r>
    </w:p>
    <w:p w14:paraId="0F414377" w14:textId="77777777" w:rsidR="004A7EDA" w:rsidRPr="004A7EDA" w:rsidRDefault="004A7EDA" w:rsidP="004A7EDA">
      <w:pPr>
        <w:rPr>
          <w:lang w:val="en-GB"/>
        </w:rPr>
      </w:pPr>
      <w:r w:rsidRPr="004A7EDA">
        <w:rPr>
          <w:lang w:val="en-GB"/>
        </w:rPr>
        <w:t>Table 12 represents performance against the Local Government and Suburban Development output.</w:t>
      </w:r>
      <w:r w:rsidRPr="004A7EDA">
        <w:rPr>
          <w:lang w:val="en-GB"/>
        </w:rPr>
        <w:br/>
        <w:t xml:space="preserve">This output delivers activities in partnership with the local government sector to support effective and efficient local governance, leadership, </w:t>
      </w:r>
      <w:proofErr w:type="gramStart"/>
      <w:r w:rsidRPr="004A7EDA">
        <w:rPr>
          <w:lang w:val="en-GB"/>
        </w:rPr>
        <w:t>infrastructure</w:t>
      </w:r>
      <w:proofErr w:type="gramEnd"/>
      <w:r w:rsidRPr="004A7EDA">
        <w:rPr>
          <w:lang w:val="en-GB"/>
        </w:rPr>
        <w:t xml:space="preserve"> and service provision. The department also works collaboratively to develop Melbourne’s suburbs through the Suburban Revitalisation Program and the</w:t>
      </w:r>
      <w:r w:rsidRPr="004A7EDA">
        <w:rPr>
          <w:lang w:val="en-GB"/>
        </w:rPr>
        <w:br/>
        <w:t>six Metropolitan Partnerships and improve suburban liveability. Through this output, the department administers programs to support local governments to increase accountability and provide support</w:t>
      </w:r>
      <w:r w:rsidRPr="004A7EDA">
        <w:rPr>
          <w:lang w:val="en-GB"/>
        </w:rPr>
        <w:br/>
        <w:t>to the Victorian Local Government Grants Commission.</w:t>
      </w:r>
    </w:p>
    <w:p w14:paraId="55C5D298" w14:textId="77777777" w:rsidR="004A7EDA" w:rsidRPr="004A7EDA" w:rsidRDefault="004A7EDA" w:rsidP="00485B24">
      <w:pPr>
        <w:pStyle w:val="Heading5"/>
        <w:rPr>
          <w:lang w:val="en-GB"/>
        </w:rPr>
      </w:pPr>
      <w:r w:rsidRPr="004A7EDA">
        <w:rPr>
          <w:lang w:val="en-GB"/>
        </w:rPr>
        <w:t>Table 12: Output – Local Government and Suburban Development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9"/>
        <w:gridCol w:w="964"/>
        <w:gridCol w:w="963"/>
        <w:gridCol w:w="964"/>
        <w:gridCol w:w="1304"/>
        <w:gridCol w:w="964"/>
      </w:tblGrid>
      <w:tr w:rsidR="004A7EDA" w:rsidRPr="004C11A1" w14:paraId="7AFD2CB5" w14:textId="77777777" w:rsidTr="004C11A1">
        <w:trPr>
          <w:trHeight w:val="113"/>
          <w:tblHeader/>
        </w:trPr>
        <w:tc>
          <w:tcPr>
            <w:tcW w:w="4479" w:type="dxa"/>
            <w:shd w:val="clear" w:color="auto" w:fill="auto"/>
            <w:tcMar>
              <w:top w:w="113" w:type="dxa"/>
              <w:left w:w="28" w:type="dxa"/>
              <w:bottom w:w="113" w:type="dxa"/>
              <w:right w:w="28" w:type="dxa"/>
            </w:tcMar>
          </w:tcPr>
          <w:p w14:paraId="212CEB0F" w14:textId="77777777" w:rsidR="004A7EDA" w:rsidRPr="004C11A1" w:rsidRDefault="004A7EDA" w:rsidP="00286AE3">
            <w:pPr>
              <w:pStyle w:val="TableHeading"/>
            </w:pPr>
            <w:r w:rsidRPr="004C11A1">
              <w:t>Performance measures</w:t>
            </w:r>
          </w:p>
        </w:tc>
        <w:tc>
          <w:tcPr>
            <w:tcW w:w="964" w:type="dxa"/>
            <w:shd w:val="clear" w:color="auto" w:fill="auto"/>
            <w:tcMar>
              <w:top w:w="113" w:type="dxa"/>
              <w:left w:w="28" w:type="dxa"/>
              <w:bottom w:w="113" w:type="dxa"/>
              <w:right w:w="28" w:type="dxa"/>
            </w:tcMar>
          </w:tcPr>
          <w:p w14:paraId="5342701F" w14:textId="77777777" w:rsidR="004A7EDA" w:rsidRPr="004C11A1" w:rsidRDefault="004A7EDA" w:rsidP="00286AE3">
            <w:pPr>
              <w:pStyle w:val="TableHeading"/>
            </w:pPr>
            <w:r w:rsidRPr="004C11A1">
              <w:t>Unit of measure</w:t>
            </w:r>
          </w:p>
        </w:tc>
        <w:tc>
          <w:tcPr>
            <w:tcW w:w="963" w:type="dxa"/>
            <w:shd w:val="clear" w:color="auto" w:fill="auto"/>
            <w:tcMar>
              <w:top w:w="113" w:type="dxa"/>
              <w:left w:w="28" w:type="dxa"/>
              <w:bottom w:w="113" w:type="dxa"/>
              <w:right w:w="28" w:type="dxa"/>
            </w:tcMar>
          </w:tcPr>
          <w:p w14:paraId="36D42EA7" w14:textId="77777777" w:rsidR="004A7EDA" w:rsidRPr="004C11A1" w:rsidRDefault="004A7EDA" w:rsidP="00286AE3">
            <w:pPr>
              <w:pStyle w:val="TableHeading"/>
            </w:pPr>
            <w:r w:rsidRPr="004C11A1">
              <w:t>2020–21 actual</w:t>
            </w:r>
          </w:p>
        </w:tc>
        <w:tc>
          <w:tcPr>
            <w:tcW w:w="964" w:type="dxa"/>
            <w:shd w:val="clear" w:color="auto" w:fill="auto"/>
            <w:tcMar>
              <w:top w:w="113" w:type="dxa"/>
              <w:left w:w="28" w:type="dxa"/>
              <w:bottom w:w="113" w:type="dxa"/>
              <w:right w:w="28" w:type="dxa"/>
            </w:tcMar>
          </w:tcPr>
          <w:p w14:paraId="050E8AE6" w14:textId="77777777" w:rsidR="004A7EDA" w:rsidRPr="004C11A1" w:rsidRDefault="004A7EDA" w:rsidP="00286AE3">
            <w:pPr>
              <w:pStyle w:val="TableHeading"/>
            </w:pPr>
            <w:r w:rsidRPr="004C11A1">
              <w:t>2020–21 target</w:t>
            </w:r>
          </w:p>
        </w:tc>
        <w:tc>
          <w:tcPr>
            <w:tcW w:w="1304" w:type="dxa"/>
            <w:shd w:val="clear" w:color="auto" w:fill="auto"/>
            <w:tcMar>
              <w:top w:w="113" w:type="dxa"/>
              <w:left w:w="28" w:type="dxa"/>
              <w:bottom w:w="113" w:type="dxa"/>
              <w:right w:w="28" w:type="dxa"/>
            </w:tcMar>
          </w:tcPr>
          <w:p w14:paraId="19F33EF2" w14:textId="77777777" w:rsidR="004A7EDA" w:rsidRPr="004C11A1" w:rsidRDefault="004A7EDA" w:rsidP="00286AE3">
            <w:pPr>
              <w:pStyle w:val="TableHeading"/>
            </w:pPr>
            <w:r w:rsidRPr="004C11A1">
              <w:t>Performance variation (%)</w:t>
            </w:r>
          </w:p>
        </w:tc>
        <w:tc>
          <w:tcPr>
            <w:tcW w:w="964" w:type="dxa"/>
            <w:shd w:val="clear" w:color="auto" w:fill="auto"/>
            <w:tcMar>
              <w:top w:w="113" w:type="dxa"/>
              <w:left w:w="28" w:type="dxa"/>
              <w:bottom w:w="113" w:type="dxa"/>
              <w:right w:w="28" w:type="dxa"/>
            </w:tcMar>
          </w:tcPr>
          <w:p w14:paraId="23C295E5" w14:textId="77777777" w:rsidR="004A7EDA" w:rsidRPr="004C11A1" w:rsidRDefault="004A7EDA" w:rsidP="00286AE3">
            <w:pPr>
              <w:pStyle w:val="TableHeading"/>
            </w:pPr>
            <w:r w:rsidRPr="004C11A1">
              <w:t>Result</w:t>
            </w:r>
          </w:p>
        </w:tc>
      </w:tr>
      <w:tr w:rsidR="004A7EDA" w:rsidRPr="00C34B9B" w14:paraId="3AD640DC" w14:textId="77777777" w:rsidTr="004C11A1">
        <w:trPr>
          <w:trHeight w:val="113"/>
        </w:trPr>
        <w:tc>
          <w:tcPr>
            <w:tcW w:w="9638" w:type="dxa"/>
            <w:gridSpan w:val="6"/>
            <w:shd w:val="clear" w:color="auto" w:fill="auto"/>
            <w:tcMar>
              <w:top w:w="113" w:type="dxa"/>
              <w:left w:w="28" w:type="dxa"/>
              <w:bottom w:w="113" w:type="dxa"/>
              <w:right w:w="28" w:type="dxa"/>
            </w:tcMar>
          </w:tcPr>
          <w:p w14:paraId="5DA916A3" w14:textId="77777777" w:rsidR="004A7EDA" w:rsidRPr="00C34B9B" w:rsidRDefault="004A7EDA" w:rsidP="00286AE3">
            <w:pPr>
              <w:pStyle w:val="TableCopy"/>
            </w:pPr>
            <w:r w:rsidRPr="00C34B9B">
              <w:t>Quantity</w:t>
            </w:r>
          </w:p>
        </w:tc>
      </w:tr>
      <w:tr w:rsidR="004A7EDA" w:rsidRPr="004A7EDA" w14:paraId="266555DD" w14:textId="77777777" w:rsidTr="004C11A1">
        <w:trPr>
          <w:trHeight w:val="113"/>
        </w:trPr>
        <w:tc>
          <w:tcPr>
            <w:tcW w:w="4479" w:type="dxa"/>
            <w:shd w:val="clear" w:color="auto" w:fill="auto"/>
            <w:tcMar>
              <w:top w:w="113" w:type="dxa"/>
              <w:left w:w="28" w:type="dxa"/>
              <w:bottom w:w="113" w:type="dxa"/>
              <w:right w:w="28" w:type="dxa"/>
            </w:tcMar>
          </w:tcPr>
          <w:p w14:paraId="48830300" w14:textId="77777777" w:rsidR="004A7EDA" w:rsidRPr="004A7EDA" w:rsidRDefault="004A7EDA" w:rsidP="00286AE3">
            <w:pPr>
              <w:pStyle w:val="TableCopy"/>
              <w:rPr>
                <w:lang w:val="en-GB"/>
              </w:rPr>
            </w:pPr>
            <w:r w:rsidRPr="004A7EDA">
              <w:rPr>
                <w:lang w:val="en-GB"/>
              </w:rPr>
              <w:t>Average number of monthly pageviews on</w:t>
            </w:r>
            <w:r w:rsidRPr="004A7EDA">
              <w:rPr>
                <w:lang w:val="en-GB"/>
              </w:rPr>
              <w:br/>
            </w:r>
            <w:hyperlink r:id="rId21" w:history="1">
              <w:r w:rsidRPr="004A7EDA">
                <w:rPr>
                  <w:rStyle w:val="Hyperlink"/>
                  <w:lang w:val="en-GB"/>
                </w:rPr>
                <w:t>knowyourcouncil.vic.gov.au</w:t>
              </w:r>
            </w:hyperlink>
          </w:p>
        </w:tc>
        <w:tc>
          <w:tcPr>
            <w:tcW w:w="964" w:type="dxa"/>
            <w:shd w:val="clear" w:color="auto" w:fill="auto"/>
            <w:tcMar>
              <w:top w:w="113" w:type="dxa"/>
              <w:left w:w="28" w:type="dxa"/>
              <w:bottom w:w="113" w:type="dxa"/>
              <w:right w:w="28" w:type="dxa"/>
            </w:tcMar>
          </w:tcPr>
          <w:p w14:paraId="6516F0FD"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3C27F985" w14:textId="77777777" w:rsidR="004A7EDA" w:rsidRPr="004A7EDA" w:rsidRDefault="004A7EDA" w:rsidP="00286AE3">
            <w:pPr>
              <w:pStyle w:val="TableCopy"/>
              <w:rPr>
                <w:lang w:val="en-GB"/>
              </w:rPr>
            </w:pPr>
            <w:r w:rsidRPr="004A7EDA">
              <w:rPr>
                <w:lang w:val="en-GB"/>
              </w:rPr>
              <w:t>140</w:t>
            </w:r>
          </w:p>
        </w:tc>
        <w:tc>
          <w:tcPr>
            <w:tcW w:w="964" w:type="dxa"/>
            <w:shd w:val="clear" w:color="auto" w:fill="auto"/>
            <w:tcMar>
              <w:top w:w="113" w:type="dxa"/>
              <w:left w:w="28" w:type="dxa"/>
              <w:bottom w:w="113" w:type="dxa"/>
              <w:right w:w="28" w:type="dxa"/>
            </w:tcMar>
          </w:tcPr>
          <w:p w14:paraId="649C3476" w14:textId="77777777" w:rsidR="004A7EDA" w:rsidRPr="004A7EDA" w:rsidRDefault="004A7EDA" w:rsidP="00286AE3">
            <w:pPr>
              <w:pStyle w:val="TableCopy"/>
              <w:rPr>
                <w:lang w:val="en-GB"/>
              </w:rPr>
            </w:pPr>
            <w:r w:rsidRPr="004A7EDA">
              <w:rPr>
                <w:lang w:val="en-GB"/>
              </w:rPr>
              <w:t>140</w:t>
            </w:r>
          </w:p>
        </w:tc>
        <w:tc>
          <w:tcPr>
            <w:tcW w:w="1304" w:type="dxa"/>
            <w:shd w:val="clear" w:color="auto" w:fill="auto"/>
            <w:tcMar>
              <w:top w:w="113" w:type="dxa"/>
              <w:left w:w="28" w:type="dxa"/>
              <w:bottom w:w="113" w:type="dxa"/>
              <w:right w:w="28" w:type="dxa"/>
            </w:tcMar>
          </w:tcPr>
          <w:p w14:paraId="57958834"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1E971DF7" w14:textId="509154D9" w:rsidR="004A7EDA" w:rsidRPr="004A7EDA" w:rsidRDefault="00485B24" w:rsidP="00286AE3">
            <w:pPr>
              <w:pStyle w:val="TableCopy"/>
              <w:rPr>
                <w:lang w:val="en-GB"/>
              </w:rPr>
            </w:pPr>
            <w:r>
              <w:rPr>
                <w:lang w:val="en-GB"/>
              </w:rPr>
              <w:t>*</w:t>
            </w:r>
          </w:p>
        </w:tc>
      </w:tr>
      <w:tr w:rsidR="004A7EDA" w:rsidRPr="004A7EDA" w14:paraId="13410389" w14:textId="77777777" w:rsidTr="004C11A1">
        <w:trPr>
          <w:trHeight w:val="113"/>
        </w:trPr>
        <w:tc>
          <w:tcPr>
            <w:tcW w:w="4479" w:type="dxa"/>
            <w:shd w:val="clear" w:color="auto" w:fill="auto"/>
            <w:tcMar>
              <w:top w:w="113" w:type="dxa"/>
              <w:left w:w="28" w:type="dxa"/>
              <w:bottom w:w="113" w:type="dxa"/>
              <w:right w:w="28" w:type="dxa"/>
            </w:tcMar>
          </w:tcPr>
          <w:p w14:paraId="189BBD8E" w14:textId="77777777" w:rsidR="004A7EDA" w:rsidRPr="004A7EDA" w:rsidRDefault="004A7EDA" w:rsidP="00286AE3">
            <w:pPr>
              <w:pStyle w:val="TableCopy"/>
              <w:rPr>
                <w:lang w:val="en-GB"/>
              </w:rPr>
            </w:pPr>
            <w:r w:rsidRPr="004A7EDA">
              <w:rPr>
                <w:lang w:val="en-GB"/>
              </w:rPr>
              <w:t>Community meetings held with Metropolitan Partnerships</w:t>
            </w:r>
          </w:p>
        </w:tc>
        <w:tc>
          <w:tcPr>
            <w:tcW w:w="964" w:type="dxa"/>
            <w:shd w:val="clear" w:color="auto" w:fill="auto"/>
            <w:tcMar>
              <w:top w:w="113" w:type="dxa"/>
              <w:left w:w="28" w:type="dxa"/>
              <w:bottom w:w="113" w:type="dxa"/>
              <w:right w:w="28" w:type="dxa"/>
            </w:tcMar>
          </w:tcPr>
          <w:p w14:paraId="29C3A1E4"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1266F3C" w14:textId="77777777" w:rsidR="004A7EDA" w:rsidRPr="004A7EDA" w:rsidRDefault="004A7EDA" w:rsidP="00286AE3">
            <w:pPr>
              <w:pStyle w:val="TableCopy"/>
              <w:rPr>
                <w:lang w:val="en-GB"/>
              </w:rPr>
            </w:pPr>
            <w:r w:rsidRPr="004A7EDA">
              <w:rPr>
                <w:lang w:val="en-GB"/>
              </w:rPr>
              <w:t>30</w:t>
            </w:r>
          </w:p>
        </w:tc>
        <w:tc>
          <w:tcPr>
            <w:tcW w:w="964" w:type="dxa"/>
            <w:shd w:val="clear" w:color="auto" w:fill="auto"/>
            <w:tcMar>
              <w:top w:w="113" w:type="dxa"/>
              <w:left w:w="28" w:type="dxa"/>
              <w:bottom w:w="113" w:type="dxa"/>
              <w:right w:w="28" w:type="dxa"/>
            </w:tcMar>
          </w:tcPr>
          <w:p w14:paraId="4A862E9B" w14:textId="77777777" w:rsidR="004A7EDA" w:rsidRPr="004A7EDA" w:rsidRDefault="004A7EDA" w:rsidP="00286AE3">
            <w:pPr>
              <w:pStyle w:val="TableCopy"/>
              <w:rPr>
                <w:lang w:val="en-GB"/>
              </w:rPr>
            </w:pPr>
            <w:r w:rsidRPr="004A7EDA">
              <w:rPr>
                <w:lang w:val="en-GB"/>
              </w:rPr>
              <w:t>6</w:t>
            </w:r>
          </w:p>
        </w:tc>
        <w:tc>
          <w:tcPr>
            <w:tcW w:w="1304" w:type="dxa"/>
            <w:shd w:val="clear" w:color="auto" w:fill="auto"/>
            <w:tcMar>
              <w:top w:w="113" w:type="dxa"/>
              <w:left w:w="28" w:type="dxa"/>
              <w:bottom w:w="113" w:type="dxa"/>
              <w:right w:w="28" w:type="dxa"/>
            </w:tcMar>
          </w:tcPr>
          <w:p w14:paraId="18B6DA09" w14:textId="77777777" w:rsidR="004A7EDA" w:rsidRPr="004A7EDA" w:rsidRDefault="004A7EDA" w:rsidP="00286AE3">
            <w:pPr>
              <w:pStyle w:val="TableCopy"/>
              <w:rPr>
                <w:lang w:val="en-GB"/>
              </w:rPr>
            </w:pPr>
            <w:r w:rsidRPr="004A7EDA">
              <w:rPr>
                <w:lang w:val="en-GB"/>
              </w:rPr>
              <w:t>400.0%</w:t>
            </w:r>
          </w:p>
        </w:tc>
        <w:tc>
          <w:tcPr>
            <w:tcW w:w="964" w:type="dxa"/>
            <w:shd w:val="clear" w:color="auto" w:fill="auto"/>
            <w:tcMar>
              <w:top w:w="113" w:type="dxa"/>
              <w:left w:w="28" w:type="dxa"/>
              <w:bottom w:w="113" w:type="dxa"/>
              <w:right w:w="28" w:type="dxa"/>
            </w:tcMar>
          </w:tcPr>
          <w:p w14:paraId="39D74A0F" w14:textId="5E6C021B" w:rsidR="004A7EDA" w:rsidRPr="004A7EDA" w:rsidRDefault="00485B24" w:rsidP="00286AE3">
            <w:pPr>
              <w:pStyle w:val="TableCopy"/>
              <w:rPr>
                <w:lang w:val="en-GB"/>
              </w:rPr>
            </w:pPr>
            <w:r>
              <w:rPr>
                <w:lang w:val="en-GB"/>
              </w:rPr>
              <w:t>*</w:t>
            </w:r>
          </w:p>
        </w:tc>
      </w:tr>
      <w:tr w:rsidR="004A7EDA" w:rsidRPr="00C34B9B" w14:paraId="3DD6FBF3" w14:textId="77777777" w:rsidTr="004C11A1">
        <w:trPr>
          <w:trHeight w:val="113"/>
        </w:trPr>
        <w:tc>
          <w:tcPr>
            <w:tcW w:w="9638" w:type="dxa"/>
            <w:gridSpan w:val="6"/>
            <w:shd w:val="clear" w:color="auto" w:fill="auto"/>
            <w:tcMar>
              <w:top w:w="113" w:type="dxa"/>
              <w:left w:w="113" w:type="dxa"/>
              <w:bottom w:w="113" w:type="dxa"/>
              <w:right w:w="113" w:type="dxa"/>
            </w:tcMar>
          </w:tcPr>
          <w:p w14:paraId="40314954" w14:textId="77777777" w:rsidR="004A7EDA" w:rsidRPr="00C34B9B" w:rsidRDefault="004A7EDA" w:rsidP="00286AE3">
            <w:pPr>
              <w:pStyle w:val="TableCopy"/>
            </w:pPr>
            <w:r w:rsidRPr="00C34B9B">
              <w:t>Higher result due to additional stakeholder engagement by the Metropolitan Partnerships to better understand how COVID-19 impacted the community.</w:t>
            </w:r>
          </w:p>
        </w:tc>
      </w:tr>
      <w:tr w:rsidR="004A7EDA" w:rsidRPr="004A7EDA" w14:paraId="56CDAB79" w14:textId="77777777" w:rsidTr="004C11A1">
        <w:trPr>
          <w:trHeight w:val="113"/>
        </w:trPr>
        <w:tc>
          <w:tcPr>
            <w:tcW w:w="4479" w:type="dxa"/>
            <w:shd w:val="clear" w:color="auto" w:fill="auto"/>
            <w:tcMar>
              <w:top w:w="113" w:type="dxa"/>
              <w:left w:w="28" w:type="dxa"/>
              <w:bottom w:w="113" w:type="dxa"/>
              <w:right w:w="28" w:type="dxa"/>
            </w:tcMar>
          </w:tcPr>
          <w:p w14:paraId="7B8C6A59" w14:textId="77777777" w:rsidR="004A7EDA" w:rsidRPr="004A7EDA" w:rsidRDefault="004A7EDA" w:rsidP="00286AE3">
            <w:pPr>
              <w:pStyle w:val="TableCopy"/>
              <w:rPr>
                <w:lang w:val="en-GB"/>
              </w:rPr>
            </w:pPr>
            <w:r w:rsidRPr="004A7EDA">
              <w:rPr>
                <w:lang w:val="en-GB"/>
              </w:rPr>
              <w:t>Meetings held annually with Victorian councils regarding the Victorian Local Government Grants Commission financial assistance grants allocation model</w:t>
            </w:r>
          </w:p>
        </w:tc>
        <w:tc>
          <w:tcPr>
            <w:tcW w:w="964" w:type="dxa"/>
            <w:shd w:val="clear" w:color="auto" w:fill="auto"/>
            <w:tcMar>
              <w:top w:w="113" w:type="dxa"/>
              <w:left w:w="28" w:type="dxa"/>
              <w:bottom w:w="113" w:type="dxa"/>
              <w:right w:w="28" w:type="dxa"/>
            </w:tcMar>
          </w:tcPr>
          <w:p w14:paraId="54D8C6B3"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1B4BB04C" w14:textId="77777777" w:rsidR="004A7EDA" w:rsidRPr="004A7EDA" w:rsidRDefault="004A7EDA" w:rsidP="00286AE3">
            <w:pPr>
              <w:pStyle w:val="TableCopy"/>
              <w:rPr>
                <w:lang w:val="en-GB"/>
              </w:rPr>
            </w:pPr>
            <w:r w:rsidRPr="004A7EDA">
              <w:rPr>
                <w:lang w:val="en-GB"/>
              </w:rPr>
              <w:t>19</w:t>
            </w:r>
          </w:p>
        </w:tc>
        <w:tc>
          <w:tcPr>
            <w:tcW w:w="964" w:type="dxa"/>
            <w:shd w:val="clear" w:color="auto" w:fill="auto"/>
            <w:tcMar>
              <w:top w:w="113" w:type="dxa"/>
              <w:left w:w="28" w:type="dxa"/>
              <w:bottom w:w="113" w:type="dxa"/>
              <w:right w:w="28" w:type="dxa"/>
            </w:tcMar>
          </w:tcPr>
          <w:p w14:paraId="41B72355" w14:textId="77777777" w:rsidR="004A7EDA" w:rsidRPr="004A7EDA" w:rsidRDefault="004A7EDA" w:rsidP="00286AE3">
            <w:pPr>
              <w:pStyle w:val="TableCopy"/>
              <w:rPr>
                <w:lang w:val="en-GB"/>
              </w:rPr>
            </w:pPr>
            <w:r w:rsidRPr="004A7EDA">
              <w:rPr>
                <w:lang w:val="en-GB"/>
              </w:rPr>
              <w:t>19</w:t>
            </w:r>
          </w:p>
        </w:tc>
        <w:tc>
          <w:tcPr>
            <w:tcW w:w="1304" w:type="dxa"/>
            <w:shd w:val="clear" w:color="auto" w:fill="auto"/>
            <w:tcMar>
              <w:top w:w="113" w:type="dxa"/>
              <w:left w:w="28" w:type="dxa"/>
              <w:bottom w:w="113" w:type="dxa"/>
              <w:right w:w="28" w:type="dxa"/>
            </w:tcMar>
          </w:tcPr>
          <w:p w14:paraId="29D357E9"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2BE04BEE" w14:textId="515100EF" w:rsidR="004A7EDA" w:rsidRPr="004A7EDA" w:rsidRDefault="00485B24" w:rsidP="00286AE3">
            <w:pPr>
              <w:pStyle w:val="TableCopy"/>
              <w:rPr>
                <w:lang w:val="en-GB"/>
              </w:rPr>
            </w:pPr>
            <w:r>
              <w:rPr>
                <w:lang w:val="en-GB"/>
              </w:rPr>
              <w:t>*</w:t>
            </w:r>
          </w:p>
        </w:tc>
      </w:tr>
      <w:tr w:rsidR="004A7EDA" w:rsidRPr="004A7EDA" w14:paraId="361D282D" w14:textId="77777777" w:rsidTr="004C11A1">
        <w:trPr>
          <w:trHeight w:val="113"/>
        </w:trPr>
        <w:tc>
          <w:tcPr>
            <w:tcW w:w="4479" w:type="dxa"/>
            <w:shd w:val="clear" w:color="auto" w:fill="auto"/>
            <w:tcMar>
              <w:top w:w="113" w:type="dxa"/>
              <w:left w:w="28" w:type="dxa"/>
              <w:bottom w:w="113" w:type="dxa"/>
              <w:right w:w="28" w:type="dxa"/>
            </w:tcMar>
          </w:tcPr>
          <w:p w14:paraId="2B381BC6" w14:textId="77777777" w:rsidR="004A7EDA" w:rsidRPr="004A7EDA" w:rsidRDefault="004A7EDA" w:rsidP="00286AE3">
            <w:pPr>
              <w:pStyle w:val="TableCopy"/>
              <w:rPr>
                <w:lang w:val="en-GB"/>
              </w:rPr>
            </w:pPr>
            <w:r w:rsidRPr="004A7EDA">
              <w:rPr>
                <w:lang w:val="en-GB"/>
              </w:rPr>
              <w:t>Meetings held with Local Government Mayoral</w:t>
            </w:r>
            <w:r w:rsidRPr="004A7EDA">
              <w:rPr>
                <w:lang w:val="en-GB"/>
              </w:rPr>
              <w:br/>
              <w:t>Advisory Panel</w:t>
            </w:r>
          </w:p>
        </w:tc>
        <w:tc>
          <w:tcPr>
            <w:tcW w:w="964" w:type="dxa"/>
            <w:shd w:val="clear" w:color="auto" w:fill="auto"/>
            <w:tcMar>
              <w:top w:w="113" w:type="dxa"/>
              <w:left w:w="28" w:type="dxa"/>
              <w:bottom w:w="113" w:type="dxa"/>
              <w:right w:w="28" w:type="dxa"/>
            </w:tcMar>
          </w:tcPr>
          <w:p w14:paraId="228E341A"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447193A0" w14:textId="77777777" w:rsidR="004A7EDA" w:rsidRPr="004A7EDA" w:rsidRDefault="004A7EDA" w:rsidP="00286AE3">
            <w:pPr>
              <w:pStyle w:val="TableCopy"/>
              <w:rPr>
                <w:lang w:val="en-GB"/>
              </w:rPr>
            </w:pPr>
            <w:r w:rsidRPr="004A7EDA">
              <w:rPr>
                <w:lang w:val="en-GB"/>
              </w:rPr>
              <w:t>4</w:t>
            </w:r>
          </w:p>
        </w:tc>
        <w:tc>
          <w:tcPr>
            <w:tcW w:w="964" w:type="dxa"/>
            <w:shd w:val="clear" w:color="auto" w:fill="auto"/>
            <w:tcMar>
              <w:top w:w="113" w:type="dxa"/>
              <w:left w:w="28" w:type="dxa"/>
              <w:bottom w:w="113" w:type="dxa"/>
              <w:right w:w="28" w:type="dxa"/>
            </w:tcMar>
          </w:tcPr>
          <w:p w14:paraId="54393438" w14:textId="77777777" w:rsidR="004A7EDA" w:rsidRPr="004A7EDA" w:rsidRDefault="004A7EDA" w:rsidP="00286AE3">
            <w:pPr>
              <w:pStyle w:val="TableCopy"/>
              <w:rPr>
                <w:lang w:val="en-GB"/>
              </w:rPr>
            </w:pPr>
            <w:r w:rsidRPr="004A7EDA">
              <w:rPr>
                <w:lang w:val="en-GB"/>
              </w:rPr>
              <w:t>4</w:t>
            </w:r>
          </w:p>
        </w:tc>
        <w:tc>
          <w:tcPr>
            <w:tcW w:w="1304" w:type="dxa"/>
            <w:shd w:val="clear" w:color="auto" w:fill="auto"/>
            <w:tcMar>
              <w:top w:w="113" w:type="dxa"/>
              <w:left w:w="28" w:type="dxa"/>
              <w:bottom w:w="113" w:type="dxa"/>
              <w:right w:w="28" w:type="dxa"/>
            </w:tcMar>
          </w:tcPr>
          <w:p w14:paraId="3195330B"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43D3F9A6" w14:textId="738F9188" w:rsidR="004A7EDA" w:rsidRPr="004A7EDA" w:rsidRDefault="00485B24" w:rsidP="00286AE3">
            <w:pPr>
              <w:pStyle w:val="TableCopy"/>
              <w:rPr>
                <w:lang w:val="en-GB"/>
              </w:rPr>
            </w:pPr>
            <w:r>
              <w:rPr>
                <w:lang w:val="en-GB"/>
              </w:rPr>
              <w:t>*</w:t>
            </w:r>
          </w:p>
        </w:tc>
      </w:tr>
      <w:tr w:rsidR="004A7EDA" w:rsidRPr="004A7EDA" w14:paraId="06AFA499" w14:textId="77777777" w:rsidTr="004C11A1">
        <w:trPr>
          <w:trHeight w:val="113"/>
        </w:trPr>
        <w:tc>
          <w:tcPr>
            <w:tcW w:w="4479" w:type="dxa"/>
            <w:shd w:val="clear" w:color="auto" w:fill="auto"/>
            <w:tcMar>
              <w:top w:w="113" w:type="dxa"/>
              <w:left w:w="28" w:type="dxa"/>
              <w:bottom w:w="113" w:type="dxa"/>
              <w:right w:w="28" w:type="dxa"/>
            </w:tcMar>
          </w:tcPr>
          <w:p w14:paraId="179B1C25" w14:textId="77777777" w:rsidR="004A7EDA" w:rsidRPr="004A7EDA" w:rsidRDefault="004A7EDA" w:rsidP="00286AE3">
            <w:pPr>
              <w:pStyle w:val="TableCopy"/>
              <w:rPr>
                <w:lang w:val="en-GB"/>
              </w:rPr>
            </w:pPr>
            <w:r w:rsidRPr="004A7EDA">
              <w:rPr>
                <w:lang w:val="en-GB"/>
              </w:rPr>
              <w:t>Projects in the planning or delivery phase to support and facilitate the revitalisation of Broadmeadows</w:t>
            </w:r>
            <w:r w:rsidRPr="004A7EDA">
              <w:rPr>
                <w:lang w:val="en-GB"/>
              </w:rPr>
              <w:br/>
              <w:t>and Frankston</w:t>
            </w:r>
          </w:p>
        </w:tc>
        <w:tc>
          <w:tcPr>
            <w:tcW w:w="964" w:type="dxa"/>
            <w:shd w:val="clear" w:color="auto" w:fill="auto"/>
            <w:tcMar>
              <w:top w:w="113" w:type="dxa"/>
              <w:left w:w="28" w:type="dxa"/>
              <w:bottom w:w="113" w:type="dxa"/>
              <w:right w:w="28" w:type="dxa"/>
            </w:tcMar>
          </w:tcPr>
          <w:p w14:paraId="34936A18"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1659EC78" w14:textId="77777777" w:rsidR="004A7EDA" w:rsidRPr="004A7EDA" w:rsidRDefault="004A7EDA" w:rsidP="00286AE3">
            <w:pPr>
              <w:pStyle w:val="TableCopy"/>
              <w:rPr>
                <w:lang w:val="en-GB"/>
              </w:rPr>
            </w:pPr>
            <w:r w:rsidRPr="004A7EDA">
              <w:rPr>
                <w:lang w:val="en-GB"/>
              </w:rPr>
              <w:t>20</w:t>
            </w:r>
          </w:p>
        </w:tc>
        <w:tc>
          <w:tcPr>
            <w:tcW w:w="964" w:type="dxa"/>
            <w:shd w:val="clear" w:color="auto" w:fill="auto"/>
            <w:tcMar>
              <w:top w:w="113" w:type="dxa"/>
              <w:left w:w="28" w:type="dxa"/>
              <w:bottom w:w="113" w:type="dxa"/>
              <w:right w:w="28" w:type="dxa"/>
            </w:tcMar>
          </w:tcPr>
          <w:p w14:paraId="12D17197" w14:textId="77777777" w:rsidR="004A7EDA" w:rsidRPr="004A7EDA" w:rsidRDefault="004A7EDA" w:rsidP="00286AE3">
            <w:pPr>
              <w:pStyle w:val="TableCopy"/>
              <w:rPr>
                <w:lang w:val="en-GB"/>
              </w:rPr>
            </w:pPr>
            <w:r w:rsidRPr="004A7EDA">
              <w:rPr>
                <w:lang w:val="en-GB"/>
              </w:rPr>
              <w:t>6</w:t>
            </w:r>
          </w:p>
        </w:tc>
        <w:tc>
          <w:tcPr>
            <w:tcW w:w="1304" w:type="dxa"/>
            <w:shd w:val="clear" w:color="auto" w:fill="auto"/>
            <w:tcMar>
              <w:top w:w="113" w:type="dxa"/>
              <w:left w:w="28" w:type="dxa"/>
              <w:bottom w:w="113" w:type="dxa"/>
              <w:right w:w="28" w:type="dxa"/>
            </w:tcMar>
          </w:tcPr>
          <w:p w14:paraId="07FF77F7" w14:textId="77777777" w:rsidR="004A7EDA" w:rsidRPr="004A7EDA" w:rsidRDefault="004A7EDA" w:rsidP="00286AE3">
            <w:pPr>
              <w:pStyle w:val="TableCopy"/>
              <w:rPr>
                <w:lang w:val="en-GB"/>
              </w:rPr>
            </w:pPr>
            <w:r w:rsidRPr="004A7EDA">
              <w:rPr>
                <w:lang w:val="en-GB"/>
              </w:rPr>
              <w:t>233.3%</w:t>
            </w:r>
          </w:p>
        </w:tc>
        <w:tc>
          <w:tcPr>
            <w:tcW w:w="964" w:type="dxa"/>
            <w:shd w:val="clear" w:color="auto" w:fill="auto"/>
            <w:tcMar>
              <w:top w:w="113" w:type="dxa"/>
              <w:left w:w="28" w:type="dxa"/>
              <w:bottom w:w="113" w:type="dxa"/>
              <w:right w:w="28" w:type="dxa"/>
            </w:tcMar>
          </w:tcPr>
          <w:p w14:paraId="6EA9E47E" w14:textId="10A2362E" w:rsidR="004A7EDA" w:rsidRPr="004A7EDA" w:rsidRDefault="00485B24" w:rsidP="00286AE3">
            <w:pPr>
              <w:pStyle w:val="TableCopy"/>
              <w:rPr>
                <w:lang w:val="en-GB"/>
              </w:rPr>
            </w:pPr>
            <w:r>
              <w:rPr>
                <w:lang w:val="en-GB"/>
              </w:rPr>
              <w:t>*</w:t>
            </w:r>
          </w:p>
        </w:tc>
      </w:tr>
      <w:tr w:rsidR="004A7EDA" w:rsidRPr="00C34B9B" w14:paraId="06DCE967" w14:textId="77777777" w:rsidTr="004C11A1">
        <w:trPr>
          <w:trHeight w:val="113"/>
        </w:trPr>
        <w:tc>
          <w:tcPr>
            <w:tcW w:w="9638" w:type="dxa"/>
            <w:gridSpan w:val="6"/>
            <w:shd w:val="clear" w:color="auto" w:fill="auto"/>
            <w:tcMar>
              <w:top w:w="113" w:type="dxa"/>
              <w:left w:w="113" w:type="dxa"/>
              <w:bottom w:w="113" w:type="dxa"/>
              <w:right w:w="113" w:type="dxa"/>
            </w:tcMar>
          </w:tcPr>
          <w:p w14:paraId="1B4A2793" w14:textId="77777777" w:rsidR="004A7EDA" w:rsidRPr="00C34B9B" w:rsidRDefault="004A7EDA" w:rsidP="00286AE3">
            <w:pPr>
              <w:pStyle w:val="TableCopy"/>
            </w:pPr>
            <w:r w:rsidRPr="00C34B9B">
              <w:t>Higher result due to additional funding provided to Broadmeadows and Frankston as part of the Building Works Stimulus, which resulted in more projects being planned or delivered under the program.</w:t>
            </w:r>
          </w:p>
        </w:tc>
      </w:tr>
      <w:tr w:rsidR="004A7EDA" w:rsidRPr="00C34B9B" w14:paraId="75C89864" w14:textId="77777777" w:rsidTr="004C11A1">
        <w:trPr>
          <w:trHeight w:val="113"/>
        </w:trPr>
        <w:tc>
          <w:tcPr>
            <w:tcW w:w="9638" w:type="dxa"/>
            <w:gridSpan w:val="6"/>
            <w:shd w:val="clear" w:color="auto" w:fill="auto"/>
            <w:tcMar>
              <w:top w:w="113" w:type="dxa"/>
              <w:left w:w="28" w:type="dxa"/>
              <w:bottom w:w="113" w:type="dxa"/>
              <w:right w:w="28" w:type="dxa"/>
            </w:tcMar>
          </w:tcPr>
          <w:p w14:paraId="63F2D454" w14:textId="77777777" w:rsidR="004A7EDA" w:rsidRPr="00C34B9B" w:rsidRDefault="004A7EDA" w:rsidP="00286AE3">
            <w:pPr>
              <w:pStyle w:val="TableCopy"/>
            </w:pPr>
            <w:r w:rsidRPr="00C34B9B">
              <w:t>Quality</w:t>
            </w:r>
          </w:p>
        </w:tc>
      </w:tr>
      <w:tr w:rsidR="004A7EDA" w:rsidRPr="004A7EDA" w14:paraId="70A3F8CA" w14:textId="77777777" w:rsidTr="004C11A1">
        <w:trPr>
          <w:trHeight w:val="113"/>
        </w:trPr>
        <w:tc>
          <w:tcPr>
            <w:tcW w:w="4479" w:type="dxa"/>
            <w:shd w:val="clear" w:color="auto" w:fill="auto"/>
            <w:tcMar>
              <w:top w:w="113" w:type="dxa"/>
              <w:left w:w="28" w:type="dxa"/>
              <w:bottom w:w="113" w:type="dxa"/>
              <w:right w:w="28" w:type="dxa"/>
            </w:tcMar>
          </w:tcPr>
          <w:p w14:paraId="2B8B3A87" w14:textId="77777777" w:rsidR="004A7EDA" w:rsidRPr="004A7EDA" w:rsidRDefault="004A7EDA" w:rsidP="00286AE3">
            <w:pPr>
              <w:pStyle w:val="TableCopy"/>
              <w:rPr>
                <w:lang w:val="en-GB"/>
              </w:rPr>
            </w:pPr>
            <w:r w:rsidRPr="004A7EDA">
              <w:rPr>
                <w:lang w:val="en-GB"/>
              </w:rPr>
              <w:t>Council satisfaction with the communication, support and advice received from Local Government Victoria in relation to the Local Government Performance Reporting Framework</w:t>
            </w:r>
          </w:p>
        </w:tc>
        <w:tc>
          <w:tcPr>
            <w:tcW w:w="964" w:type="dxa"/>
            <w:shd w:val="clear" w:color="auto" w:fill="auto"/>
            <w:tcMar>
              <w:top w:w="113" w:type="dxa"/>
              <w:left w:w="28" w:type="dxa"/>
              <w:bottom w:w="113" w:type="dxa"/>
              <w:right w:w="28" w:type="dxa"/>
            </w:tcMar>
          </w:tcPr>
          <w:p w14:paraId="17510CCF"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1B652AC8" w14:textId="77777777" w:rsidR="004A7EDA" w:rsidRPr="004A7EDA" w:rsidRDefault="004A7EDA" w:rsidP="00286AE3">
            <w:pPr>
              <w:pStyle w:val="TableCopy"/>
              <w:rPr>
                <w:lang w:val="en-GB"/>
              </w:rPr>
            </w:pPr>
            <w:r w:rsidRPr="004A7EDA">
              <w:rPr>
                <w:lang w:val="en-GB"/>
              </w:rPr>
              <w:t>70</w:t>
            </w:r>
          </w:p>
        </w:tc>
        <w:tc>
          <w:tcPr>
            <w:tcW w:w="964" w:type="dxa"/>
            <w:shd w:val="clear" w:color="auto" w:fill="auto"/>
            <w:tcMar>
              <w:top w:w="113" w:type="dxa"/>
              <w:left w:w="28" w:type="dxa"/>
              <w:bottom w:w="113" w:type="dxa"/>
              <w:right w:w="28" w:type="dxa"/>
            </w:tcMar>
          </w:tcPr>
          <w:p w14:paraId="1326FC5F" w14:textId="77777777" w:rsidR="004A7EDA" w:rsidRPr="004A7EDA" w:rsidRDefault="004A7EDA" w:rsidP="00286AE3">
            <w:pPr>
              <w:pStyle w:val="TableCopy"/>
              <w:rPr>
                <w:lang w:val="en-GB"/>
              </w:rPr>
            </w:pPr>
            <w:r w:rsidRPr="004A7EDA">
              <w:rPr>
                <w:lang w:val="en-GB"/>
              </w:rPr>
              <w:t>70</w:t>
            </w:r>
          </w:p>
        </w:tc>
        <w:tc>
          <w:tcPr>
            <w:tcW w:w="1304" w:type="dxa"/>
            <w:shd w:val="clear" w:color="auto" w:fill="auto"/>
            <w:tcMar>
              <w:top w:w="113" w:type="dxa"/>
              <w:left w:w="28" w:type="dxa"/>
              <w:bottom w:w="113" w:type="dxa"/>
              <w:right w:w="28" w:type="dxa"/>
            </w:tcMar>
          </w:tcPr>
          <w:p w14:paraId="59AC8773"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4AD536CB" w14:textId="1AFD7A54" w:rsidR="004A7EDA" w:rsidRPr="004A7EDA" w:rsidRDefault="00485B24" w:rsidP="00286AE3">
            <w:pPr>
              <w:pStyle w:val="TableCopy"/>
              <w:rPr>
                <w:lang w:val="en-GB"/>
              </w:rPr>
            </w:pPr>
            <w:r>
              <w:rPr>
                <w:lang w:val="en-GB"/>
              </w:rPr>
              <w:t>*</w:t>
            </w:r>
          </w:p>
        </w:tc>
      </w:tr>
      <w:tr w:rsidR="004A7EDA" w:rsidRPr="004A7EDA" w14:paraId="3E578EDB" w14:textId="77777777" w:rsidTr="004C11A1">
        <w:trPr>
          <w:trHeight w:val="113"/>
        </w:trPr>
        <w:tc>
          <w:tcPr>
            <w:tcW w:w="4479" w:type="dxa"/>
            <w:shd w:val="clear" w:color="auto" w:fill="auto"/>
            <w:tcMar>
              <w:top w:w="113" w:type="dxa"/>
              <w:left w:w="28" w:type="dxa"/>
              <w:bottom w:w="113" w:type="dxa"/>
              <w:right w:w="28" w:type="dxa"/>
            </w:tcMar>
          </w:tcPr>
          <w:p w14:paraId="5D8C3E90" w14:textId="77777777" w:rsidR="004A7EDA" w:rsidRPr="004A7EDA" w:rsidRDefault="004A7EDA" w:rsidP="00286AE3">
            <w:pPr>
              <w:pStyle w:val="TableCopy"/>
              <w:rPr>
                <w:lang w:val="en-GB"/>
              </w:rPr>
            </w:pPr>
            <w:r w:rsidRPr="004A7EDA">
              <w:rPr>
                <w:lang w:val="en-GB"/>
              </w:rPr>
              <w:t>Councils with approved roadside weeds and pests control plan</w:t>
            </w:r>
          </w:p>
        </w:tc>
        <w:tc>
          <w:tcPr>
            <w:tcW w:w="964" w:type="dxa"/>
            <w:shd w:val="clear" w:color="auto" w:fill="auto"/>
            <w:tcMar>
              <w:top w:w="113" w:type="dxa"/>
              <w:left w:w="28" w:type="dxa"/>
              <w:bottom w:w="113" w:type="dxa"/>
              <w:right w:w="28" w:type="dxa"/>
            </w:tcMar>
          </w:tcPr>
          <w:p w14:paraId="68490AC7"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52F66C8" w14:textId="77777777" w:rsidR="004A7EDA" w:rsidRPr="004A7EDA" w:rsidRDefault="004A7EDA" w:rsidP="00286AE3">
            <w:pPr>
              <w:pStyle w:val="TableCopy"/>
              <w:rPr>
                <w:lang w:val="en-GB"/>
              </w:rPr>
            </w:pPr>
            <w:r w:rsidRPr="004A7EDA">
              <w:rPr>
                <w:lang w:val="en-GB"/>
              </w:rPr>
              <w:t>56</w:t>
            </w:r>
          </w:p>
        </w:tc>
        <w:tc>
          <w:tcPr>
            <w:tcW w:w="964" w:type="dxa"/>
            <w:shd w:val="clear" w:color="auto" w:fill="auto"/>
            <w:tcMar>
              <w:top w:w="113" w:type="dxa"/>
              <w:left w:w="28" w:type="dxa"/>
              <w:bottom w:w="113" w:type="dxa"/>
              <w:right w:w="28" w:type="dxa"/>
            </w:tcMar>
          </w:tcPr>
          <w:p w14:paraId="1686F57A" w14:textId="77777777" w:rsidR="004A7EDA" w:rsidRPr="004A7EDA" w:rsidRDefault="004A7EDA" w:rsidP="00286AE3">
            <w:pPr>
              <w:pStyle w:val="TableCopy"/>
              <w:rPr>
                <w:lang w:val="en-GB"/>
              </w:rPr>
            </w:pPr>
            <w:r w:rsidRPr="004A7EDA">
              <w:rPr>
                <w:lang w:val="en-GB"/>
              </w:rPr>
              <w:t>56</w:t>
            </w:r>
          </w:p>
        </w:tc>
        <w:tc>
          <w:tcPr>
            <w:tcW w:w="1304" w:type="dxa"/>
            <w:shd w:val="clear" w:color="auto" w:fill="auto"/>
            <w:tcMar>
              <w:top w:w="113" w:type="dxa"/>
              <w:left w:w="28" w:type="dxa"/>
              <w:bottom w:w="113" w:type="dxa"/>
              <w:right w:w="28" w:type="dxa"/>
            </w:tcMar>
          </w:tcPr>
          <w:p w14:paraId="52841599"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303D64FA" w14:textId="3F6659F6" w:rsidR="004A7EDA" w:rsidRPr="004A7EDA" w:rsidRDefault="00485B24" w:rsidP="00286AE3">
            <w:pPr>
              <w:pStyle w:val="TableCopy"/>
              <w:rPr>
                <w:lang w:val="en-GB"/>
              </w:rPr>
            </w:pPr>
            <w:r>
              <w:rPr>
                <w:lang w:val="en-GB"/>
              </w:rPr>
              <w:t>*</w:t>
            </w:r>
          </w:p>
        </w:tc>
      </w:tr>
      <w:tr w:rsidR="004A7EDA" w:rsidRPr="004A7EDA" w14:paraId="159F5CBA" w14:textId="77777777" w:rsidTr="004C11A1">
        <w:trPr>
          <w:trHeight w:val="113"/>
        </w:trPr>
        <w:tc>
          <w:tcPr>
            <w:tcW w:w="4479" w:type="dxa"/>
            <w:shd w:val="clear" w:color="auto" w:fill="auto"/>
            <w:tcMar>
              <w:top w:w="113" w:type="dxa"/>
              <w:left w:w="28" w:type="dxa"/>
              <w:bottom w:w="113" w:type="dxa"/>
              <w:right w:w="28" w:type="dxa"/>
            </w:tcMar>
          </w:tcPr>
          <w:p w14:paraId="40103EB3" w14:textId="77777777" w:rsidR="004A7EDA" w:rsidRPr="004A7EDA" w:rsidRDefault="004A7EDA" w:rsidP="00286AE3">
            <w:pPr>
              <w:pStyle w:val="TableCopy"/>
              <w:rPr>
                <w:lang w:val="en-GB"/>
              </w:rPr>
            </w:pPr>
            <w:r w:rsidRPr="004A7EDA">
              <w:rPr>
                <w:lang w:val="en-GB"/>
              </w:rPr>
              <w:t>Participants satisfied with their experience</w:t>
            </w:r>
            <w:r w:rsidRPr="004A7EDA">
              <w:rPr>
                <w:lang w:val="en-GB"/>
              </w:rPr>
              <w:br/>
              <w:t>of partnership assemblies</w:t>
            </w:r>
          </w:p>
        </w:tc>
        <w:tc>
          <w:tcPr>
            <w:tcW w:w="964" w:type="dxa"/>
            <w:shd w:val="clear" w:color="auto" w:fill="auto"/>
            <w:tcMar>
              <w:top w:w="113" w:type="dxa"/>
              <w:left w:w="28" w:type="dxa"/>
              <w:bottom w:w="113" w:type="dxa"/>
              <w:right w:w="28" w:type="dxa"/>
            </w:tcMar>
          </w:tcPr>
          <w:p w14:paraId="4A423C62"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6A134FE5" w14:textId="77777777" w:rsidR="004A7EDA" w:rsidRPr="004A7EDA" w:rsidRDefault="004A7EDA" w:rsidP="00286AE3">
            <w:pPr>
              <w:pStyle w:val="TableCopy"/>
              <w:rPr>
                <w:lang w:val="en-GB"/>
              </w:rPr>
            </w:pPr>
            <w:r w:rsidRPr="004A7EDA">
              <w:rPr>
                <w:lang w:val="en-GB"/>
              </w:rPr>
              <w:t>88</w:t>
            </w:r>
          </w:p>
        </w:tc>
        <w:tc>
          <w:tcPr>
            <w:tcW w:w="964" w:type="dxa"/>
            <w:shd w:val="clear" w:color="auto" w:fill="auto"/>
            <w:tcMar>
              <w:top w:w="113" w:type="dxa"/>
              <w:left w:w="28" w:type="dxa"/>
              <w:bottom w:w="113" w:type="dxa"/>
              <w:right w:w="28" w:type="dxa"/>
            </w:tcMar>
          </w:tcPr>
          <w:p w14:paraId="01ECEB4C" w14:textId="77777777" w:rsidR="004A7EDA" w:rsidRPr="004A7EDA" w:rsidRDefault="004A7EDA" w:rsidP="00286AE3">
            <w:pPr>
              <w:pStyle w:val="TableCopy"/>
              <w:rPr>
                <w:lang w:val="en-GB"/>
              </w:rPr>
            </w:pPr>
            <w:r w:rsidRPr="004A7EDA">
              <w:rPr>
                <w:lang w:val="en-GB"/>
              </w:rPr>
              <w:t>80</w:t>
            </w:r>
          </w:p>
        </w:tc>
        <w:tc>
          <w:tcPr>
            <w:tcW w:w="1304" w:type="dxa"/>
            <w:shd w:val="clear" w:color="auto" w:fill="auto"/>
            <w:tcMar>
              <w:top w:w="113" w:type="dxa"/>
              <w:left w:w="28" w:type="dxa"/>
              <w:bottom w:w="113" w:type="dxa"/>
              <w:right w:w="28" w:type="dxa"/>
            </w:tcMar>
          </w:tcPr>
          <w:p w14:paraId="790B73AF" w14:textId="77777777" w:rsidR="004A7EDA" w:rsidRPr="004A7EDA" w:rsidRDefault="004A7EDA" w:rsidP="00286AE3">
            <w:pPr>
              <w:pStyle w:val="TableCopy"/>
              <w:rPr>
                <w:lang w:val="en-GB"/>
              </w:rPr>
            </w:pPr>
            <w:r w:rsidRPr="004A7EDA">
              <w:rPr>
                <w:lang w:val="en-GB"/>
              </w:rPr>
              <w:t>10.0%</w:t>
            </w:r>
          </w:p>
        </w:tc>
        <w:tc>
          <w:tcPr>
            <w:tcW w:w="964" w:type="dxa"/>
            <w:shd w:val="clear" w:color="auto" w:fill="auto"/>
            <w:tcMar>
              <w:top w:w="113" w:type="dxa"/>
              <w:left w:w="28" w:type="dxa"/>
              <w:bottom w:w="113" w:type="dxa"/>
              <w:right w:w="28" w:type="dxa"/>
            </w:tcMar>
          </w:tcPr>
          <w:p w14:paraId="4761FFCE" w14:textId="44441448" w:rsidR="004A7EDA" w:rsidRPr="004A7EDA" w:rsidRDefault="00485B24" w:rsidP="00286AE3">
            <w:pPr>
              <w:pStyle w:val="TableCopy"/>
              <w:rPr>
                <w:lang w:val="en-GB"/>
              </w:rPr>
            </w:pPr>
            <w:r>
              <w:rPr>
                <w:lang w:val="en-GB"/>
              </w:rPr>
              <w:t>*</w:t>
            </w:r>
          </w:p>
        </w:tc>
      </w:tr>
      <w:tr w:rsidR="004A7EDA" w:rsidRPr="00C34B9B" w14:paraId="458F0B2D" w14:textId="77777777" w:rsidTr="004C11A1">
        <w:trPr>
          <w:trHeight w:val="113"/>
        </w:trPr>
        <w:tc>
          <w:tcPr>
            <w:tcW w:w="9638" w:type="dxa"/>
            <w:gridSpan w:val="6"/>
            <w:shd w:val="clear" w:color="auto" w:fill="auto"/>
            <w:tcMar>
              <w:top w:w="113" w:type="dxa"/>
              <w:left w:w="113" w:type="dxa"/>
              <w:bottom w:w="113" w:type="dxa"/>
              <w:right w:w="113" w:type="dxa"/>
            </w:tcMar>
          </w:tcPr>
          <w:p w14:paraId="1DB50BB6" w14:textId="77777777" w:rsidR="004A7EDA" w:rsidRPr="00C34B9B" w:rsidRDefault="004A7EDA" w:rsidP="00286AE3">
            <w:pPr>
              <w:pStyle w:val="TableCopy"/>
            </w:pPr>
            <w:r w:rsidRPr="00C34B9B">
              <w:t>Higher result due to online engagements allowing for more inclusive participation, leading to increased satisfaction results.</w:t>
            </w:r>
          </w:p>
        </w:tc>
      </w:tr>
      <w:tr w:rsidR="004A7EDA" w:rsidRPr="004A7EDA" w14:paraId="0896BEA0" w14:textId="77777777" w:rsidTr="004C11A1">
        <w:trPr>
          <w:trHeight w:val="113"/>
        </w:trPr>
        <w:tc>
          <w:tcPr>
            <w:tcW w:w="4479" w:type="dxa"/>
            <w:shd w:val="clear" w:color="auto" w:fill="auto"/>
            <w:tcMar>
              <w:top w:w="113" w:type="dxa"/>
              <w:left w:w="28" w:type="dxa"/>
              <w:bottom w:w="113" w:type="dxa"/>
              <w:right w:w="28" w:type="dxa"/>
            </w:tcMar>
          </w:tcPr>
          <w:p w14:paraId="1BAC90D2" w14:textId="77777777" w:rsidR="004A7EDA" w:rsidRPr="004A7EDA" w:rsidRDefault="004A7EDA" w:rsidP="00286AE3">
            <w:pPr>
              <w:pStyle w:val="TableCopy"/>
              <w:rPr>
                <w:lang w:val="en-GB"/>
              </w:rPr>
            </w:pPr>
            <w:r w:rsidRPr="004A7EDA">
              <w:rPr>
                <w:lang w:val="en-GB"/>
              </w:rPr>
              <w:lastRenderedPageBreak/>
              <w:t>Submissions that fully meet the objectives within the Growing Suburbs Fund program guidelines</w:t>
            </w:r>
          </w:p>
        </w:tc>
        <w:tc>
          <w:tcPr>
            <w:tcW w:w="964" w:type="dxa"/>
            <w:shd w:val="clear" w:color="auto" w:fill="auto"/>
            <w:tcMar>
              <w:top w:w="113" w:type="dxa"/>
              <w:left w:w="28" w:type="dxa"/>
              <w:bottom w:w="113" w:type="dxa"/>
              <w:right w:w="28" w:type="dxa"/>
            </w:tcMar>
          </w:tcPr>
          <w:p w14:paraId="463C891A"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1B6488DC" w14:textId="77777777" w:rsidR="004A7EDA" w:rsidRPr="004A7EDA" w:rsidRDefault="004A7EDA" w:rsidP="00286AE3">
            <w:pPr>
              <w:pStyle w:val="TableCopy"/>
              <w:rPr>
                <w:lang w:val="en-GB"/>
              </w:rPr>
            </w:pPr>
            <w:r w:rsidRPr="004A7EDA">
              <w:rPr>
                <w:lang w:val="en-GB"/>
              </w:rPr>
              <w:t>80</w:t>
            </w:r>
          </w:p>
        </w:tc>
        <w:tc>
          <w:tcPr>
            <w:tcW w:w="964" w:type="dxa"/>
            <w:shd w:val="clear" w:color="auto" w:fill="auto"/>
            <w:tcMar>
              <w:top w:w="113" w:type="dxa"/>
              <w:left w:w="28" w:type="dxa"/>
              <w:bottom w:w="113" w:type="dxa"/>
              <w:right w:w="28" w:type="dxa"/>
            </w:tcMar>
          </w:tcPr>
          <w:p w14:paraId="7AE30E4D" w14:textId="77777777" w:rsidR="004A7EDA" w:rsidRPr="004A7EDA" w:rsidRDefault="004A7EDA" w:rsidP="00286AE3">
            <w:pPr>
              <w:pStyle w:val="TableCopy"/>
              <w:rPr>
                <w:lang w:val="en-GB"/>
              </w:rPr>
            </w:pPr>
            <w:r w:rsidRPr="004A7EDA">
              <w:rPr>
                <w:lang w:val="en-GB"/>
              </w:rPr>
              <w:t>80</w:t>
            </w:r>
          </w:p>
        </w:tc>
        <w:tc>
          <w:tcPr>
            <w:tcW w:w="1304" w:type="dxa"/>
            <w:shd w:val="clear" w:color="auto" w:fill="auto"/>
            <w:tcMar>
              <w:top w:w="113" w:type="dxa"/>
              <w:left w:w="28" w:type="dxa"/>
              <w:bottom w:w="113" w:type="dxa"/>
              <w:right w:w="28" w:type="dxa"/>
            </w:tcMar>
          </w:tcPr>
          <w:p w14:paraId="73A88A85"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23D6F58C" w14:textId="0C99D546" w:rsidR="004A7EDA" w:rsidRPr="004A7EDA" w:rsidRDefault="00485B24" w:rsidP="00286AE3">
            <w:pPr>
              <w:pStyle w:val="TableCopy"/>
              <w:rPr>
                <w:lang w:val="en-GB"/>
              </w:rPr>
            </w:pPr>
            <w:r>
              <w:rPr>
                <w:lang w:val="en-GB"/>
              </w:rPr>
              <w:t>*</w:t>
            </w:r>
          </w:p>
        </w:tc>
      </w:tr>
      <w:tr w:rsidR="004A7EDA" w:rsidRPr="00C34B9B" w14:paraId="32DD1718" w14:textId="77777777" w:rsidTr="004C11A1">
        <w:trPr>
          <w:trHeight w:val="113"/>
        </w:trPr>
        <w:tc>
          <w:tcPr>
            <w:tcW w:w="9638" w:type="dxa"/>
            <w:gridSpan w:val="6"/>
            <w:shd w:val="clear" w:color="auto" w:fill="auto"/>
            <w:tcMar>
              <w:top w:w="113" w:type="dxa"/>
              <w:left w:w="28" w:type="dxa"/>
              <w:bottom w:w="113" w:type="dxa"/>
              <w:right w:w="28" w:type="dxa"/>
            </w:tcMar>
          </w:tcPr>
          <w:p w14:paraId="1A1BAD89" w14:textId="77777777" w:rsidR="004A7EDA" w:rsidRPr="00C34B9B" w:rsidRDefault="004A7EDA" w:rsidP="00286AE3">
            <w:pPr>
              <w:pStyle w:val="TableCopy"/>
            </w:pPr>
            <w:r w:rsidRPr="00C34B9B">
              <w:t>Timeliness</w:t>
            </w:r>
          </w:p>
        </w:tc>
      </w:tr>
      <w:tr w:rsidR="004A7EDA" w:rsidRPr="004A7EDA" w14:paraId="1A25F2A8" w14:textId="77777777" w:rsidTr="004C11A1">
        <w:trPr>
          <w:trHeight w:val="113"/>
        </w:trPr>
        <w:tc>
          <w:tcPr>
            <w:tcW w:w="4479" w:type="dxa"/>
            <w:shd w:val="clear" w:color="auto" w:fill="auto"/>
            <w:tcMar>
              <w:top w:w="113" w:type="dxa"/>
              <w:left w:w="28" w:type="dxa"/>
              <w:bottom w:w="113" w:type="dxa"/>
              <w:right w:w="28" w:type="dxa"/>
            </w:tcMar>
          </w:tcPr>
          <w:p w14:paraId="66CBC1A4" w14:textId="77777777" w:rsidR="004A7EDA" w:rsidRPr="004A7EDA" w:rsidRDefault="004A7EDA" w:rsidP="00286AE3">
            <w:pPr>
              <w:pStyle w:val="TableCopy"/>
              <w:rPr>
                <w:lang w:val="en-GB"/>
              </w:rPr>
            </w:pPr>
            <w:r w:rsidRPr="004A7EDA">
              <w:rPr>
                <w:lang w:val="en-GB"/>
              </w:rPr>
              <w:t>Average number of days for Municipal Emergency Resource Program grant payments to be made following completion of agreed milestones in the funding agreement</w:t>
            </w:r>
          </w:p>
        </w:tc>
        <w:tc>
          <w:tcPr>
            <w:tcW w:w="964" w:type="dxa"/>
            <w:shd w:val="clear" w:color="auto" w:fill="auto"/>
            <w:tcMar>
              <w:top w:w="113" w:type="dxa"/>
              <w:left w:w="28" w:type="dxa"/>
              <w:bottom w:w="113" w:type="dxa"/>
              <w:right w:w="28" w:type="dxa"/>
            </w:tcMar>
          </w:tcPr>
          <w:p w14:paraId="31D0AD2F" w14:textId="77777777" w:rsidR="004A7EDA" w:rsidRPr="004A7EDA" w:rsidRDefault="004A7EDA" w:rsidP="00286AE3">
            <w:pPr>
              <w:pStyle w:val="TableCopy"/>
              <w:rPr>
                <w:lang w:val="en-GB"/>
              </w:rPr>
            </w:pPr>
            <w:r w:rsidRPr="004A7EDA">
              <w:rPr>
                <w:lang w:val="en-GB"/>
              </w:rPr>
              <w:t>days</w:t>
            </w:r>
          </w:p>
        </w:tc>
        <w:tc>
          <w:tcPr>
            <w:tcW w:w="963" w:type="dxa"/>
            <w:shd w:val="clear" w:color="auto" w:fill="auto"/>
            <w:tcMar>
              <w:top w:w="113" w:type="dxa"/>
              <w:left w:w="28" w:type="dxa"/>
              <w:bottom w:w="113" w:type="dxa"/>
              <w:right w:w="28" w:type="dxa"/>
            </w:tcMar>
          </w:tcPr>
          <w:p w14:paraId="2D90C08A" w14:textId="77777777" w:rsidR="004A7EDA" w:rsidRPr="004A7EDA" w:rsidRDefault="004A7EDA" w:rsidP="00286AE3">
            <w:pPr>
              <w:pStyle w:val="TableCopy"/>
              <w:rPr>
                <w:lang w:val="en-GB"/>
              </w:rPr>
            </w:pPr>
            <w:r w:rsidRPr="004A7EDA">
              <w:rPr>
                <w:lang w:val="en-GB"/>
              </w:rPr>
              <w:t>21</w:t>
            </w:r>
          </w:p>
        </w:tc>
        <w:tc>
          <w:tcPr>
            <w:tcW w:w="964" w:type="dxa"/>
            <w:shd w:val="clear" w:color="auto" w:fill="auto"/>
            <w:tcMar>
              <w:top w:w="113" w:type="dxa"/>
              <w:left w:w="28" w:type="dxa"/>
              <w:bottom w:w="113" w:type="dxa"/>
              <w:right w:w="28" w:type="dxa"/>
            </w:tcMar>
          </w:tcPr>
          <w:p w14:paraId="25372728" w14:textId="77777777" w:rsidR="004A7EDA" w:rsidRPr="004A7EDA" w:rsidRDefault="004A7EDA" w:rsidP="00286AE3">
            <w:pPr>
              <w:pStyle w:val="TableCopy"/>
              <w:rPr>
                <w:lang w:val="en-GB"/>
              </w:rPr>
            </w:pPr>
            <w:r w:rsidRPr="004A7EDA">
              <w:rPr>
                <w:lang w:val="en-GB"/>
              </w:rPr>
              <w:t>21</w:t>
            </w:r>
          </w:p>
        </w:tc>
        <w:tc>
          <w:tcPr>
            <w:tcW w:w="1304" w:type="dxa"/>
            <w:shd w:val="clear" w:color="auto" w:fill="auto"/>
            <w:tcMar>
              <w:top w:w="113" w:type="dxa"/>
              <w:left w:w="28" w:type="dxa"/>
              <w:bottom w:w="113" w:type="dxa"/>
              <w:right w:w="28" w:type="dxa"/>
            </w:tcMar>
          </w:tcPr>
          <w:p w14:paraId="4FE5E5C6"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41ACB844" w14:textId="1F68EE70" w:rsidR="004A7EDA" w:rsidRPr="004A7EDA" w:rsidRDefault="00485B24" w:rsidP="00286AE3">
            <w:pPr>
              <w:pStyle w:val="TableCopy"/>
              <w:rPr>
                <w:lang w:val="en-GB"/>
              </w:rPr>
            </w:pPr>
            <w:r>
              <w:rPr>
                <w:lang w:val="en-GB"/>
              </w:rPr>
              <w:t>*</w:t>
            </w:r>
          </w:p>
        </w:tc>
      </w:tr>
      <w:tr w:rsidR="004A7EDA" w:rsidRPr="004A7EDA" w14:paraId="1F2BB635" w14:textId="77777777" w:rsidTr="004C11A1">
        <w:trPr>
          <w:trHeight w:val="113"/>
        </w:trPr>
        <w:tc>
          <w:tcPr>
            <w:tcW w:w="4479" w:type="dxa"/>
            <w:shd w:val="clear" w:color="auto" w:fill="auto"/>
            <w:tcMar>
              <w:top w:w="113" w:type="dxa"/>
              <w:left w:w="28" w:type="dxa"/>
              <w:bottom w:w="113" w:type="dxa"/>
              <w:right w:w="28" w:type="dxa"/>
            </w:tcMar>
          </w:tcPr>
          <w:p w14:paraId="3CDAC45D" w14:textId="77777777" w:rsidR="004A7EDA" w:rsidRPr="004A7EDA" w:rsidRDefault="004A7EDA" w:rsidP="00286AE3">
            <w:pPr>
              <w:pStyle w:val="TableCopy"/>
              <w:rPr>
                <w:lang w:val="en-GB"/>
              </w:rPr>
            </w:pPr>
            <w:r w:rsidRPr="004A7EDA">
              <w:rPr>
                <w:lang w:val="en-GB"/>
              </w:rPr>
              <w:t>Average number of days for Public Library Services grant payments to be made following completion</w:t>
            </w:r>
            <w:r w:rsidRPr="004A7EDA">
              <w:rPr>
                <w:lang w:val="en-GB"/>
              </w:rPr>
              <w:br/>
              <w:t>of agreed milestones in the funding agreement</w:t>
            </w:r>
          </w:p>
        </w:tc>
        <w:tc>
          <w:tcPr>
            <w:tcW w:w="964" w:type="dxa"/>
            <w:shd w:val="clear" w:color="auto" w:fill="auto"/>
            <w:tcMar>
              <w:top w:w="113" w:type="dxa"/>
              <w:left w:w="28" w:type="dxa"/>
              <w:bottom w:w="113" w:type="dxa"/>
              <w:right w:w="28" w:type="dxa"/>
            </w:tcMar>
          </w:tcPr>
          <w:p w14:paraId="2FABF981" w14:textId="77777777" w:rsidR="004A7EDA" w:rsidRPr="004A7EDA" w:rsidRDefault="004A7EDA" w:rsidP="00286AE3">
            <w:pPr>
              <w:pStyle w:val="TableCopy"/>
              <w:rPr>
                <w:lang w:val="en-GB"/>
              </w:rPr>
            </w:pPr>
            <w:r w:rsidRPr="004A7EDA">
              <w:rPr>
                <w:lang w:val="en-GB"/>
              </w:rPr>
              <w:t>days</w:t>
            </w:r>
          </w:p>
        </w:tc>
        <w:tc>
          <w:tcPr>
            <w:tcW w:w="963" w:type="dxa"/>
            <w:shd w:val="clear" w:color="auto" w:fill="auto"/>
            <w:tcMar>
              <w:top w:w="113" w:type="dxa"/>
              <w:left w:w="28" w:type="dxa"/>
              <w:bottom w:w="113" w:type="dxa"/>
              <w:right w:w="28" w:type="dxa"/>
            </w:tcMar>
          </w:tcPr>
          <w:p w14:paraId="738F9BE8" w14:textId="77777777" w:rsidR="004A7EDA" w:rsidRPr="004A7EDA" w:rsidRDefault="004A7EDA" w:rsidP="00286AE3">
            <w:pPr>
              <w:pStyle w:val="TableCopy"/>
              <w:rPr>
                <w:lang w:val="en-GB"/>
              </w:rPr>
            </w:pPr>
            <w:r w:rsidRPr="004A7EDA">
              <w:rPr>
                <w:lang w:val="en-GB"/>
              </w:rPr>
              <w:t>21</w:t>
            </w:r>
          </w:p>
        </w:tc>
        <w:tc>
          <w:tcPr>
            <w:tcW w:w="964" w:type="dxa"/>
            <w:shd w:val="clear" w:color="auto" w:fill="auto"/>
            <w:tcMar>
              <w:top w:w="113" w:type="dxa"/>
              <w:left w:w="28" w:type="dxa"/>
              <w:bottom w:w="113" w:type="dxa"/>
              <w:right w:w="28" w:type="dxa"/>
            </w:tcMar>
          </w:tcPr>
          <w:p w14:paraId="675D0F83" w14:textId="77777777" w:rsidR="004A7EDA" w:rsidRPr="004A7EDA" w:rsidRDefault="004A7EDA" w:rsidP="00286AE3">
            <w:pPr>
              <w:pStyle w:val="TableCopy"/>
              <w:rPr>
                <w:lang w:val="en-GB"/>
              </w:rPr>
            </w:pPr>
            <w:r w:rsidRPr="004A7EDA">
              <w:rPr>
                <w:lang w:val="en-GB"/>
              </w:rPr>
              <w:t>21</w:t>
            </w:r>
          </w:p>
        </w:tc>
        <w:tc>
          <w:tcPr>
            <w:tcW w:w="1304" w:type="dxa"/>
            <w:shd w:val="clear" w:color="auto" w:fill="auto"/>
            <w:tcMar>
              <w:top w:w="113" w:type="dxa"/>
              <w:left w:w="28" w:type="dxa"/>
              <w:bottom w:w="113" w:type="dxa"/>
              <w:right w:w="28" w:type="dxa"/>
            </w:tcMar>
          </w:tcPr>
          <w:p w14:paraId="7828F4B8"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564138C5" w14:textId="4B6BAD9C" w:rsidR="004A7EDA" w:rsidRPr="004A7EDA" w:rsidRDefault="00485B24" w:rsidP="00286AE3">
            <w:pPr>
              <w:pStyle w:val="TableCopy"/>
              <w:rPr>
                <w:lang w:val="en-GB"/>
              </w:rPr>
            </w:pPr>
            <w:r>
              <w:rPr>
                <w:lang w:val="en-GB"/>
              </w:rPr>
              <w:t>*</w:t>
            </w:r>
          </w:p>
        </w:tc>
      </w:tr>
      <w:tr w:rsidR="004A7EDA" w:rsidRPr="004A7EDA" w14:paraId="17C5598A" w14:textId="77777777" w:rsidTr="004C11A1">
        <w:trPr>
          <w:trHeight w:val="113"/>
        </w:trPr>
        <w:tc>
          <w:tcPr>
            <w:tcW w:w="4479" w:type="dxa"/>
            <w:shd w:val="clear" w:color="auto" w:fill="auto"/>
            <w:tcMar>
              <w:top w:w="113" w:type="dxa"/>
              <w:left w:w="28" w:type="dxa"/>
              <w:bottom w:w="113" w:type="dxa"/>
              <w:right w:w="28" w:type="dxa"/>
            </w:tcMar>
          </w:tcPr>
          <w:p w14:paraId="6AF9E485" w14:textId="77777777" w:rsidR="004A7EDA" w:rsidRPr="004A7EDA" w:rsidRDefault="004A7EDA" w:rsidP="00286AE3">
            <w:pPr>
              <w:pStyle w:val="TableCopy"/>
              <w:rPr>
                <w:lang w:val="en-GB"/>
              </w:rPr>
            </w:pPr>
            <w:r w:rsidRPr="004A7EDA">
              <w:rPr>
                <w:lang w:val="en-GB"/>
              </w:rPr>
              <w:t>Partnership priorities receiving a government response by 30 June</w:t>
            </w:r>
          </w:p>
        </w:tc>
        <w:tc>
          <w:tcPr>
            <w:tcW w:w="964" w:type="dxa"/>
            <w:shd w:val="clear" w:color="auto" w:fill="auto"/>
            <w:tcMar>
              <w:top w:w="113" w:type="dxa"/>
              <w:left w:w="28" w:type="dxa"/>
              <w:bottom w:w="113" w:type="dxa"/>
              <w:right w:w="28" w:type="dxa"/>
            </w:tcMar>
          </w:tcPr>
          <w:p w14:paraId="0FC0B748"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6F440D76" w14:textId="77777777" w:rsidR="004A7EDA" w:rsidRPr="004A7EDA" w:rsidRDefault="004A7EDA" w:rsidP="00286AE3">
            <w:pPr>
              <w:pStyle w:val="TableCopy"/>
              <w:rPr>
                <w:lang w:val="en-GB"/>
              </w:rPr>
            </w:pPr>
            <w:r w:rsidRPr="004A7EDA">
              <w:rPr>
                <w:lang w:val="en-GB"/>
              </w:rPr>
              <w:t>100</w:t>
            </w:r>
          </w:p>
        </w:tc>
        <w:tc>
          <w:tcPr>
            <w:tcW w:w="964" w:type="dxa"/>
            <w:shd w:val="clear" w:color="auto" w:fill="auto"/>
            <w:tcMar>
              <w:top w:w="113" w:type="dxa"/>
              <w:left w:w="28" w:type="dxa"/>
              <w:bottom w:w="113" w:type="dxa"/>
              <w:right w:w="28" w:type="dxa"/>
            </w:tcMar>
          </w:tcPr>
          <w:p w14:paraId="20C54C93" w14:textId="77777777" w:rsidR="004A7EDA" w:rsidRPr="004A7EDA" w:rsidRDefault="004A7EDA" w:rsidP="00286AE3">
            <w:pPr>
              <w:pStyle w:val="TableCopy"/>
              <w:rPr>
                <w:lang w:val="en-GB"/>
              </w:rPr>
            </w:pPr>
            <w:r w:rsidRPr="004A7EDA">
              <w:rPr>
                <w:lang w:val="en-GB"/>
              </w:rPr>
              <w:t>100</w:t>
            </w:r>
          </w:p>
        </w:tc>
        <w:tc>
          <w:tcPr>
            <w:tcW w:w="1304" w:type="dxa"/>
            <w:shd w:val="clear" w:color="auto" w:fill="auto"/>
            <w:tcMar>
              <w:top w:w="113" w:type="dxa"/>
              <w:left w:w="28" w:type="dxa"/>
              <w:bottom w:w="113" w:type="dxa"/>
              <w:right w:w="28" w:type="dxa"/>
            </w:tcMar>
          </w:tcPr>
          <w:p w14:paraId="4C175BAC"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3724BF22" w14:textId="1489207A" w:rsidR="004A7EDA" w:rsidRPr="004A7EDA" w:rsidRDefault="00485B24" w:rsidP="00286AE3">
            <w:pPr>
              <w:pStyle w:val="TableCopy"/>
              <w:rPr>
                <w:lang w:val="en-GB"/>
              </w:rPr>
            </w:pPr>
            <w:r>
              <w:rPr>
                <w:lang w:val="en-GB"/>
              </w:rPr>
              <w:t>*</w:t>
            </w:r>
          </w:p>
        </w:tc>
      </w:tr>
      <w:tr w:rsidR="004A7EDA" w:rsidRPr="004A7EDA" w14:paraId="257776F8" w14:textId="77777777" w:rsidTr="004C11A1">
        <w:trPr>
          <w:trHeight w:val="113"/>
        </w:trPr>
        <w:tc>
          <w:tcPr>
            <w:tcW w:w="4479" w:type="dxa"/>
            <w:shd w:val="clear" w:color="auto" w:fill="auto"/>
            <w:tcMar>
              <w:top w:w="113" w:type="dxa"/>
              <w:left w:w="28" w:type="dxa"/>
              <w:bottom w:w="113" w:type="dxa"/>
              <w:right w:w="28" w:type="dxa"/>
            </w:tcMar>
          </w:tcPr>
          <w:p w14:paraId="0908C2FA" w14:textId="77777777" w:rsidR="004A7EDA" w:rsidRPr="004A7EDA" w:rsidRDefault="004A7EDA" w:rsidP="00286AE3">
            <w:pPr>
              <w:pStyle w:val="TableCopy"/>
              <w:rPr>
                <w:lang w:val="en-GB"/>
              </w:rPr>
            </w:pPr>
            <w:r w:rsidRPr="004A7EDA">
              <w:rPr>
                <w:lang w:val="en-GB"/>
              </w:rPr>
              <w:t>Projects completed in accordance with approved milestones within the Growing Suburbs Fund funding agreements</w:t>
            </w:r>
          </w:p>
        </w:tc>
        <w:tc>
          <w:tcPr>
            <w:tcW w:w="964" w:type="dxa"/>
            <w:shd w:val="clear" w:color="auto" w:fill="auto"/>
            <w:tcMar>
              <w:top w:w="113" w:type="dxa"/>
              <w:left w:w="28" w:type="dxa"/>
              <w:bottom w:w="113" w:type="dxa"/>
              <w:right w:w="28" w:type="dxa"/>
            </w:tcMar>
          </w:tcPr>
          <w:p w14:paraId="302C9B02"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3A435951" w14:textId="77777777" w:rsidR="004A7EDA" w:rsidRPr="004A7EDA" w:rsidRDefault="004A7EDA" w:rsidP="00286AE3">
            <w:pPr>
              <w:pStyle w:val="TableCopy"/>
              <w:rPr>
                <w:lang w:val="en-GB"/>
              </w:rPr>
            </w:pPr>
            <w:r w:rsidRPr="004A7EDA">
              <w:rPr>
                <w:lang w:val="en-GB"/>
              </w:rPr>
              <w:t>80</w:t>
            </w:r>
          </w:p>
        </w:tc>
        <w:tc>
          <w:tcPr>
            <w:tcW w:w="964" w:type="dxa"/>
            <w:shd w:val="clear" w:color="auto" w:fill="auto"/>
            <w:tcMar>
              <w:top w:w="113" w:type="dxa"/>
              <w:left w:w="28" w:type="dxa"/>
              <w:bottom w:w="113" w:type="dxa"/>
              <w:right w:w="28" w:type="dxa"/>
            </w:tcMar>
          </w:tcPr>
          <w:p w14:paraId="44C65E1A" w14:textId="77777777" w:rsidR="004A7EDA" w:rsidRPr="004A7EDA" w:rsidRDefault="004A7EDA" w:rsidP="00286AE3">
            <w:pPr>
              <w:pStyle w:val="TableCopy"/>
              <w:rPr>
                <w:lang w:val="en-GB"/>
              </w:rPr>
            </w:pPr>
            <w:r w:rsidRPr="004A7EDA">
              <w:rPr>
                <w:lang w:val="en-GB"/>
              </w:rPr>
              <w:t>80</w:t>
            </w:r>
          </w:p>
        </w:tc>
        <w:tc>
          <w:tcPr>
            <w:tcW w:w="1304" w:type="dxa"/>
            <w:shd w:val="clear" w:color="auto" w:fill="auto"/>
            <w:tcMar>
              <w:top w:w="113" w:type="dxa"/>
              <w:left w:w="28" w:type="dxa"/>
              <w:bottom w:w="113" w:type="dxa"/>
              <w:right w:w="28" w:type="dxa"/>
            </w:tcMar>
          </w:tcPr>
          <w:p w14:paraId="0914F7F2"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0478B2FE" w14:textId="1DFFE5AD" w:rsidR="004A7EDA" w:rsidRPr="004A7EDA" w:rsidRDefault="00485B24" w:rsidP="00286AE3">
            <w:pPr>
              <w:pStyle w:val="TableCopy"/>
              <w:rPr>
                <w:lang w:val="en-GB"/>
              </w:rPr>
            </w:pPr>
            <w:r>
              <w:rPr>
                <w:lang w:val="en-GB"/>
              </w:rPr>
              <w:t>*</w:t>
            </w:r>
          </w:p>
        </w:tc>
      </w:tr>
      <w:tr w:rsidR="004A7EDA" w:rsidRPr="004A7EDA" w14:paraId="782283B2" w14:textId="77777777" w:rsidTr="004C11A1">
        <w:trPr>
          <w:trHeight w:val="113"/>
        </w:trPr>
        <w:tc>
          <w:tcPr>
            <w:tcW w:w="4479" w:type="dxa"/>
            <w:shd w:val="clear" w:color="auto" w:fill="auto"/>
            <w:tcMar>
              <w:top w:w="113" w:type="dxa"/>
              <w:left w:w="28" w:type="dxa"/>
              <w:bottom w:w="113" w:type="dxa"/>
              <w:right w:w="28" w:type="dxa"/>
            </w:tcMar>
          </w:tcPr>
          <w:p w14:paraId="731BC083" w14:textId="77777777" w:rsidR="004A7EDA" w:rsidRPr="004A7EDA" w:rsidRDefault="004A7EDA" w:rsidP="00286AE3">
            <w:pPr>
              <w:pStyle w:val="TableCopy"/>
              <w:rPr>
                <w:lang w:val="en-GB"/>
              </w:rPr>
            </w:pPr>
            <w:r w:rsidRPr="004A7EDA">
              <w:rPr>
                <w:lang w:val="en-GB"/>
              </w:rPr>
              <w:t>Roadside Weeds and Pests program grant payments made within 21 days of completion of agreed milestones in the funding agreement</w:t>
            </w:r>
          </w:p>
        </w:tc>
        <w:tc>
          <w:tcPr>
            <w:tcW w:w="964" w:type="dxa"/>
            <w:shd w:val="clear" w:color="auto" w:fill="auto"/>
            <w:tcMar>
              <w:top w:w="113" w:type="dxa"/>
              <w:left w:w="28" w:type="dxa"/>
              <w:bottom w:w="113" w:type="dxa"/>
              <w:right w:w="28" w:type="dxa"/>
            </w:tcMar>
          </w:tcPr>
          <w:p w14:paraId="0AB5592E"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6A2AE94A" w14:textId="77777777" w:rsidR="004A7EDA" w:rsidRPr="004A7EDA" w:rsidRDefault="004A7EDA" w:rsidP="00286AE3">
            <w:pPr>
              <w:pStyle w:val="TableCopy"/>
              <w:rPr>
                <w:lang w:val="en-GB"/>
              </w:rPr>
            </w:pPr>
            <w:r w:rsidRPr="004A7EDA">
              <w:rPr>
                <w:lang w:val="en-GB"/>
              </w:rPr>
              <w:t>100</w:t>
            </w:r>
          </w:p>
        </w:tc>
        <w:tc>
          <w:tcPr>
            <w:tcW w:w="964" w:type="dxa"/>
            <w:shd w:val="clear" w:color="auto" w:fill="auto"/>
            <w:tcMar>
              <w:top w:w="113" w:type="dxa"/>
              <w:left w:w="28" w:type="dxa"/>
              <w:bottom w:w="113" w:type="dxa"/>
              <w:right w:w="28" w:type="dxa"/>
            </w:tcMar>
          </w:tcPr>
          <w:p w14:paraId="0B44A2D6" w14:textId="77777777" w:rsidR="004A7EDA" w:rsidRPr="004A7EDA" w:rsidRDefault="004A7EDA" w:rsidP="00286AE3">
            <w:pPr>
              <w:pStyle w:val="TableCopy"/>
              <w:rPr>
                <w:lang w:val="en-GB"/>
              </w:rPr>
            </w:pPr>
            <w:r w:rsidRPr="004A7EDA">
              <w:rPr>
                <w:lang w:val="en-GB"/>
              </w:rPr>
              <w:t>100</w:t>
            </w:r>
          </w:p>
        </w:tc>
        <w:tc>
          <w:tcPr>
            <w:tcW w:w="1304" w:type="dxa"/>
            <w:shd w:val="clear" w:color="auto" w:fill="auto"/>
            <w:tcMar>
              <w:top w:w="113" w:type="dxa"/>
              <w:left w:w="28" w:type="dxa"/>
              <w:bottom w:w="113" w:type="dxa"/>
              <w:right w:w="28" w:type="dxa"/>
            </w:tcMar>
          </w:tcPr>
          <w:p w14:paraId="6327B53F"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056112FF" w14:textId="4D81535A" w:rsidR="004A7EDA" w:rsidRPr="004A7EDA" w:rsidRDefault="00485B24" w:rsidP="00286AE3">
            <w:pPr>
              <w:pStyle w:val="TableCopy"/>
              <w:rPr>
                <w:lang w:val="en-GB"/>
              </w:rPr>
            </w:pPr>
            <w:r>
              <w:rPr>
                <w:lang w:val="en-GB"/>
              </w:rPr>
              <w:t>*</w:t>
            </w:r>
          </w:p>
        </w:tc>
      </w:tr>
      <w:tr w:rsidR="004A7EDA" w:rsidRPr="004A7EDA" w14:paraId="17A1AC9B" w14:textId="77777777" w:rsidTr="004C11A1">
        <w:trPr>
          <w:trHeight w:val="113"/>
        </w:trPr>
        <w:tc>
          <w:tcPr>
            <w:tcW w:w="4479" w:type="dxa"/>
            <w:shd w:val="clear" w:color="auto" w:fill="auto"/>
            <w:tcMar>
              <w:top w:w="113" w:type="dxa"/>
              <w:left w:w="28" w:type="dxa"/>
              <w:bottom w:w="113" w:type="dxa"/>
              <w:right w:w="28" w:type="dxa"/>
            </w:tcMar>
          </w:tcPr>
          <w:p w14:paraId="5F23334E" w14:textId="77777777" w:rsidR="004A7EDA" w:rsidRPr="004A7EDA" w:rsidRDefault="004A7EDA" w:rsidP="00286AE3">
            <w:pPr>
              <w:pStyle w:val="TableCopy"/>
              <w:rPr>
                <w:lang w:val="en-GB"/>
              </w:rPr>
            </w:pPr>
            <w:r w:rsidRPr="004A7EDA">
              <w:rPr>
                <w:lang w:val="en-GB"/>
              </w:rPr>
              <w:t>Victoria Local Government Grants Commission allocations finalised to support the completion</w:t>
            </w:r>
            <w:r w:rsidRPr="004A7EDA">
              <w:rPr>
                <w:lang w:val="en-GB"/>
              </w:rPr>
              <w:br/>
              <w:t>of council budgets within statutory timeframes</w:t>
            </w:r>
          </w:p>
        </w:tc>
        <w:tc>
          <w:tcPr>
            <w:tcW w:w="964" w:type="dxa"/>
            <w:shd w:val="clear" w:color="auto" w:fill="auto"/>
            <w:tcMar>
              <w:top w:w="113" w:type="dxa"/>
              <w:left w:w="28" w:type="dxa"/>
              <w:bottom w:w="113" w:type="dxa"/>
              <w:right w:w="28" w:type="dxa"/>
            </w:tcMar>
          </w:tcPr>
          <w:p w14:paraId="64742A0D"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577E1215" w14:textId="77777777" w:rsidR="004A7EDA" w:rsidRPr="004A7EDA" w:rsidRDefault="004A7EDA" w:rsidP="00286AE3">
            <w:pPr>
              <w:pStyle w:val="TableCopy"/>
              <w:rPr>
                <w:lang w:val="en-GB"/>
              </w:rPr>
            </w:pPr>
            <w:r w:rsidRPr="004A7EDA">
              <w:rPr>
                <w:lang w:val="en-GB"/>
              </w:rPr>
              <w:t>100</w:t>
            </w:r>
          </w:p>
        </w:tc>
        <w:tc>
          <w:tcPr>
            <w:tcW w:w="964" w:type="dxa"/>
            <w:shd w:val="clear" w:color="auto" w:fill="auto"/>
            <w:tcMar>
              <w:top w:w="113" w:type="dxa"/>
              <w:left w:w="28" w:type="dxa"/>
              <w:bottom w:w="113" w:type="dxa"/>
              <w:right w:w="28" w:type="dxa"/>
            </w:tcMar>
          </w:tcPr>
          <w:p w14:paraId="1A8895E9" w14:textId="77777777" w:rsidR="004A7EDA" w:rsidRPr="004A7EDA" w:rsidRDefault="004A7EDA" w:rsidP="00286AE3">
            <w:pPr>
              <w:pStyle w:val="TableCopy"/>
              <w:rPr>
                <w:lang w:val="en-GB"/>
              </w:rPr>
            </w:pPr>
            <w:r w:rsidRPr="004A7EDA">
              <w:rPr>
                <w:lang w:val="en-GB"/>
              </w:rPr>
              <w:t>100</w:t>
            </w:r>
          </w:p>
        </w:tc>
        <w:tc>
          <w:tcPr>
            <w:tcW w:w="1304" w:type="dxa"/>
            <w:shd w:val="clear" w:color="auto" w:fill="auto"/>
            <w:tcMar>
              <w:top w:w="113" w:type="dxa"/>
              <w:left w:w="28" w:type="dxa"/>
              <w:bottom w:w="113" w:type="dxa"/>
              <w:right w:w="28" w:type="dxa"/>
            </w:tcMar>
          </w:tcPr>
          <w:p w14:paraId="04EBBCCD"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62B6BDF1" w14:textId="695CC456" w:rsidR="004A7EDA" w:rsidRPr="004A7EDA" w:rsidRDefault="00485B24" w:rsidP="00286AE3">
            <w:pPr>
              <w:pStyle w:val="TableCopy"/>
              <w:rPr>
                <w:lang w:val="en-GB"/>
              </w:rPr>
            </w:pPr>
            <w:r>
              <w:rPr>
                <w:lang w:val="en-GB"/>
              </w:rPr>
              <w:t>*</w:t>
            </w:r>
          </w:p>
        </w:tc>
      </w:tr>
      <w:tr w:rsidR="004A7EDA" w:rsidRPr="004A7EDA" w14:paraId="0C96BB92" w14:textId="77777777" w:rsidTr="004C11A1">
        <w:trPr>
          <w:trHeight w:val="113"/>
        </w:trPr>
        <w:tc>
          <w:tcPr>
            <w:tcW w:w="9638" w:type="dxa"/>
            <w:gridSpan w:val="6"/>
            <w:shd w:val="clear" w:color="auto" w:fill="auto"/>
            <w:tcMar>
              <w:top w:w="113" w:type="dxa"/>
              <w:left w:w="28" w:type="dxa"/>
              <w:bottom w:w="113" w:type="dxa"/>
              <w:right w:w="28" w:type="dxa"/>
            </w:tcMar>
          </w:tcPr>
          <w:p w14:paraId="306778EC" w14:textId="77777777" w:rsidR="004A7EDA" w:rsidRPr="004A7EDA" w:rsidRDefault="004A7EDA" w:rsidP="00286AE3">
            <w:pPr>
              <w:pStyle w:val="TableCopy"/>
              <w:rPr>
                <w:lang w:val="en-GB"/>
              </w:rPr>
            </w:pPr>
            <w:r w:rsidRPr="004A7EDA">
              <w:rPr>
                <w:lang w:val="en-GB"/>
              </w:rPr>
              <w:t>Cost</w:t>
            </w:r>
          </w:p>
        </w:tc>
      </w:tr>
      <w:tr w:rsidR="004A7EDA" w:rsidRPr="004A7EDA" w14:paraId="778436FE" w14:textId="77777777" w:rsidTr="004C11A1">
        <w:trPr>
          <w:trHeight w:val="113"/>
        </w:trPr>
        <w:tc>
          <w:tcPr>
            <w:tcW w:w="4479" w:type="dxa"/>
            <w:shd w:val="clear" w:color="auto" w:fill="auto"/>
            <w:tcMar>
              <w:top w:w="113" w:type="dxa"/>
              <w:left w:w="28" w:type="dxa"/>
              <w:bottom w:w="113" w:type="dxa"/>
              <w:right w:w="28" w:type="dxa"/>
            </w:tcMar>
          </w:tcPr>
          <w:p w14:paraId="0DA68E9C" w14:textId="77777777" w:rsidR="004A7EDA" w:rsidRPr="004A7EDA" w:rsidRDefault="004A7EDA" w:rsidP="00286AE3">
            <w:pPr>
              <w:pStyle w:val="TableCopy"/>
              <w:rPr>
                <w:lang w:val="en-GB"/>
              </w:rPr>
            </w:pPr>
            <w:r w:rsidRPr="004A7EDA">
              <w:rPr>
                <w:lang w:val="en-GB"/>
              </w:rPr>
              <w:t>Total output cost</w:t>
            </w:r>
          </w:p>
        </w:tc>
        <w:tc>
          <w:tcPr>
            <w:tcW w:w="964" w:type="dxa"/>
            <w:shd w:val="clear" w:color="auto" w:fill="auto"/>
            <w:tcMar>
              <w:top w:w="113" w:type="dxa"/>
              <w:left w:w="28" w:type="dxa"/>
              <w:bottom w:w="113" w:type="dxa"/>
              <w:right w:w="28" w:type="dxa"/>
            </w:tcMar>
          </w:tcPr>
          <w:p w14:paraId="49B99D7C" w14:textId="77777777" w:rsidR="004A7EDA" w:rsidRPr="004A7EDA" w:rsidRDefault="004A7EDA" w:rsidP="00286AE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70DB7B54" w14:textId="77777777" w:rsidR="004A7EDA" w:rsidRPr="004A7EDA" w:rsidRDefault="004A7EDA" w:rsidP="00286AE3">
            <w:pPr>
              <w:pStyle w:val="TableCopy"/>
              <w:rPr>
                <w:lang w:val="en-GB"/>
              </w:rPr>
            </w:pPr>
            <w:r w:rsidRPr="004A7EDA">
              <w:rPr>
                <w:lang w:val="en-GB"/>
              </w:rPr>
              <w:t>189.8</w:t>
            </w:r>
          </w:p>
        </w:tc>
        <w:tc>
          <w:tcPr>
            <w:tcW w:w="964" w:type="dxa"/>
            <w:shd w:val="clear" w:color="auto" w:fill="auto"/>
            <w:tcMar>
              <w:top w:w="113" w:type="dxa"/>
              <w:left w:w="28" w:type="dxa"/>
              <w:bottom w:w="113" w:type="dxa"/>
              <w:right w:w="28" w:type="dxa"/>
            </w:tcMar>
          </w:tcPr>
          <w:p w14:paraId="2F174B30" w14:textId="77777777" w:rsidR="004A7EDA" w:rsidRPr="004A7EDA" w:rsidRDefault="004A7EDA" w:rsidP="00286AE3">
            <w:pPr>
              <w:pStyle w:val="TableCopy"/>
              <w:rPr>
                <w:lang w:val="en-GB"/>
              </w:rPr>
            </w:pPr>
            <w:r w:rsidRPr="004A7EDA">
              <w:rPr>
                <w:lang w:val="en-GB"/>
              </w:rPr>
              <w:t>178.6</w:t>
            </w:r>
          </w:p>
        </w:tc>
        <w:tc>
          <w:tcPr>
            <w:tcW w:w="1304" w:type="dxa"/>
            <w:shd w:val="clear" w:color="auto" w:fill="auto"/>
            <w:tcMar>
              <w:top w:w="113" w:type="dxa"/>
              <w:left w:w="28" w:type="dxa"/>
              <w:bottom w:w="113" w:type="dxa"/>
              <w:right w:w="28" w:type="dxa"/>
            </w:tcMar>
          </w:tcPr>
          <w:p w14:paraId="2BAC4C14" w14:textId="77777777" w:rsidR="004A7EDA" w:rsidRPr="004A7EDA" w:rsidRDefault="004A7EDA" w:rsidP="00286AE3">
            <w:pPr>
              <w:pStyle w:val="TableCopy"/>
              <w:rPr>
                <w:lang w:val="en-GB"/>
              </w:rPr>
            </w:pPr>
            <w:r w:rsidRPr="004A7EDA">
              <w:rPr>
                <w:lang w:val="en-GB"/>
              </w:rPr>
              <w:t>6.3%</w:t>
            </w:r>
          </w:p>
        </w:tc>
        <w:tc>
          <w:tcPr>
            <w:tcW w:w="964" w:type="dxa"/>
            <w:shd w:val="clear" w:color="auto" w:fill="auto"/>
            <w:tcMar>
              <w:top w:w="113" w:type="dxa"/>
              <w:left w:w="28" w:type="dxa"/>
              <w:bottom w:w="113" w:type="dxa"/>
              <w:right w:w="28" w:type="dxa"/>
            </w:tcMar>
          </w:tcPr>
          <w:p w14:paraId="0BEF545D" w14:textId="4A9AD3EA" w:rsidR="004A7EDA" w:rsidRPr="004A7EDA" w:rsidRDefault="00485B24" w:rsidP="00286AE3">
            <w:pPr>
              <w:pStyle w:val="TableCopy"/>
              <w:rPr>
                <w:lang w:val="en-GB"/>
              </w:rPr>
            </w:pPr>
            <w:r>
              <w:rPr>
                <w:lang w:val="en-GB"/>
              </w:rPr>
              <w:t>#</w:t>
            </w:r>
          </w:p>
        </w:tc>
      </w:tr>
      <w:tr w:rsidR="004A7EDA" w:rsidRPr="00C34B9B" w14:paraId="4D53B485" w14:textId="77777777" w:rsidTr="004C11A1">
        <w:trPr>
          <w:trHeight w:val="113"/>
        </w:trPr>
        <w:tc>
          <w:tcPr>
            <w:tcW w:w="9638" w:type="dxa"/>
            <w:gridSpan w:val="6"/>
            <w:shd w:val="clear" w:color="auto" w:fill="auto"/>
            <w:tcMar>
              <w:top w:w="113" w:type="dxa"/>
              <w:left w:w="113" w:type="dxa"/>
              <w:bottom w:w="113" w:type="dxa"/>
              <w:right w:w="113" w:type="dxa"/>
            </w:tcMar>
          </w:tcPr>
          <w:p w14:paraId="263EABDB" w14:textId="3C22A915" w:rsidR="004A7EDA" w:rsidRPr="00C34B9B" w:rsidRDefault="004A7EDA" w:rsidP="00286AE3">
            <w:pPr>
              <w:pStyle w:val="TableCopy"/>
            </w:pPr>
            <w:r w:rsidRPr="00C34B9B">
              <w:t>The 2020–21 result was higher than the 2020–21 budget mainly due to expenditure on contingency released funding</w:t>
            </w:r>
            <w:r w:rsidR="00485B24" w:rsidRPr="00C34B9B">
              <w:t xml:space="preserve"> </w:t>
            </w:r>
            <w:r w:rsidRPr="00C34B9B">
              <w:t xml:space="preserve">for the Suburban </w:t>
            </w:r>
            <w:proofErr w:type="spellStart"/>
            <w:r w:rsidRPr="00C34B9B">
              <w:t>Revitalisation</w:t>
            </w:r>
            <w:proofErr w:type="spellEnd"/>
            <w:r w:rsidRPr="00C34B9B">
              <w:t xml:space="preserve"> and Growth initiative.</w:t>
            </w:r>
          </w:p>
        </w:tc>
      </w:tr>
    </w:tbl>
    <w:p w14:paraId="25F66463" w14:textId="7A396953" w:rsidR="004A7EDA" w:rsidRPr="004A7EDA" w:rsidRDefault="00286AE3" w:rsidP="004A7EDA">
      <w:pPr>
        <w:rPr>
          <w:lang w:val="en-GB"/>
        </w:rPr>
      </w:pPr>
      <w:r w:rsidRPr="00C34B9B">
        <w:t>Note:</w:t>
      </w:r>
      <w:r w:rsidRPr="00C34B9B">
        <w:t> </w:t>
      </w:r>
      <w:r w:rsidRPr="00C34B9B">
        <w:br/>
        <w:t>* Performance target achieved or exceeded</w:t>
      </w:r>
      <w:r w:rsidRPr="00C34B9B">
        <w:br/>
        <w:t>– Performance target not achieved – within 5 per cent variance</w:t>
      </w:r>
      <w:r w:rsidRPr="00C34B9B">
        <w:br/>
        <w:t># Performance target not achieved – exceeds 5 per cent variance</w:t>
      </w:r>
    </w:p>
    <w:p w14:paraId="58C77F41" w14:textId="77777777" w:rsidR="004A7EDA" w:rsidRPr="004A7EDA" w:rsidRDefault="004A7EDA" w:rsidP="004A7EDA">
      <w:pPr>
        <w:rPr>
          <w:lang w:val="en-GB"/>
        </w:rPr>
      </w:pPr>
      <w:r w:rsidRPr="004A7EDA">
        <w:rPr>
          <w:lang w:val="en-GB"/>
        </w:rPr>
        <w:t xml:space="preserve">Table 13 represents performance against the Regional Development output. This </w:t>
      </w:r>
      <w:proofErr w:type="gramStart"/>
      <w:r w:rsidRPr="004A7EDA">
        <w:rPr>
          <w:lang w:val="en-GB"/>
        </w:rPr>
        <w:t>output</w:t>
      </w:r>
      <w:proofErr w:type="gramEnd"/>
      <w:r w:rsidRPr="004A7EDA">
        <w:rPr>
          <w:lang w:val="en-GB"/>
        </w:rPr>
        <w:t xml:space="preserve"> guides engagement with industry and communities to identify opportunities to support job growth and new investment in regional Victoria, including support and services to grow regional jobs and capability in regional communities.</w:t>
      </w:r>
    </w:p>
    <w:p w14:paraId="7869C3F7" w14:textId="77777777" w:rsidR="004A7EDA" w:rsidRPr="004A7EDA" w:rsidRDefault="004A7EDA" w:rsidP="00485B24">
      <w:pPr>
        <w:pStyle w:val="Heading5"/>
        <w:rPr>
          <w:lang w:val="en-GB"/>
        </w:rPr>
      </w:pPr>
      <w:r w:rsidRPr="004A7EDA">
        <w:rPr>
          <w:lang w:val="en-GB"/>
        </w:rPr>
        <w:t>Table 13: Output – Regional Development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2"/>
        <w:gridCol w:w="1134"/>
        <w:gridCol w:w="998"/>
        <w:gridCol w:w="986"/>
        <w:gridCol w:w="1418"/>
        <w:gridCol w:w="850"/>
      </w:tblGrid>
      <w:tr w:rsidR="004A7EDA" w:rsidRPr="004A7EDA" w14:paraId="2E535110" w14:textId="77777777" w:rsidTr="007370D8">
        <w:trPr>
          <w:trHeight w:val="113"/>
          <w:tblHeader/>
        </w:trPr>
        <w:tc>
          <w:tcPr>
            <w:tcW w:w="4252" w:type="dxa"/>
            <w:shd w:val="clear" w:color="auto" w:fill="auto"/>
            <w:tcMar>
              <w:top w:w="113" w:type="dxa"/>
              <w:left w:w="28" w:type="dxa"/>
              <w:bottom w:w="113" w:type="dxa"/>
              <w:right w:w="28" w:type="dxa"/>
            </w:tcMar>
          </w:tcPr>
          <w:p w14:paraId="0C8FD564" w14:textId="77777777" w:rsidR="004A7EDA" w:rsidRPr="004A7EDA" w:rsidRDefault="004A7EDA" w:rsidP="00286AE3">
            <w:pPr>
              <w:pStyle w:val="TableHeading"/>
              <w:rPr>
                <w:lang w:val="en-GB"/>
              </w:rPr>
            </w:pPr>
            <w:r w:rsidRPr="004A7EDA">
              <w:rPr>
                <w:lang w:val="en-GB"/>
              </w:rPr>
              <w:t>Performance measures</w:t>
            </w:r>
          </w:p>
        </w:tc>
        <w:tc>
          <w:tcPr>
            <w:tcW w:w="1134" w:type="dxa"/>
            <w:shd w:val="clear" w:color="auto" w:fill="auto"/>
            <w:tcMar>
              <w:top w:w="113" w:type="dxa"/>
              <w:left w:w="28" w:type="dxa"/>
              <w:bottom w:w="113" w:type="dxa"/>
              <w:right w:w="28" w:type="dxa"/>
            </w:tcMar>
          </w:tcPr>
          <w:p w14:paraId="04FA1E25" w14:textId="77777777" w:rsidR="004A7EDA" w:rsidRPr="004A7EDA" w:rsidRDefault="004A7EDA" w:rsidP="00286AE3">
            <w:pPr>
              <w:pStyle w:val="TableHeading"/>
              <w:rPr>
                <w:lang w:val="en-GB"/>
              </w:rPr>
            </w:pPr>
            <w:r w:rsidRPr="004A7EDA">
              <w:rPr>
                <w:lang w:val="en-GB"/>
              </w:rPr>
              <w:t>Unit of measure</w:t>
            </w:r>
          </w:p>
        </w:tc>
        <w:tc>
          <w:tcPr>
            <w:tcW w:w="998" w:type="dxa"/>
            <w:shd w:val="clear" w:color="auto" w:fill="auto"/>
            <w:tcMar>
              <w:top w:w="113" w:type="dxa"/>
              <w:left w:w="28" w:type="dxa"/>
              <w:bottom w:w="113" w:type="dxa"/>
              <w:right w:w="28" w:type="dxa"/>
            </w:tcMar>
          </w:tcPr>
          <w:p w14:paraId="0A63297E" w14:textId="77777777" w:rsidR="004A7EDA" w:rsidRPr="004A7EDA" w:rsidRDefault="004A7EDA" w:rsidP="00286AE3">
            <w:pPr>
              <w:pStyle w:val="TableHeading"/>
              <w:rPr>
                <w:lang w:val="en-GB"/>
              </w:rPr>
            </w:pPr>
            <w:r w:rsidRPr="004A7EDA">
              <w:rPr>
                <w:lang w:val="en-GB"/>
              </w:rPr>
              <w:t>2020–21 actual</w:t>
            </w:r>
          </w:p>
        </w:tc>
        <w:tc>
          <w:tcPr>
            <w:tcW w:w="986" w:type="dxa"/>
            <w:shd w:val="clear" w:color="auto" w:fill="auto"/>
            <w:tcMar>
              <w:top w:w="113" w:type="dxa"/>
              <w:left w:w="28" w:type="dxa"/>
              <w:bottom w:w="113" w:type="dxa"/>
              <w:right w:w="28" w:type="dxa"/>
            </w:tcMar>
          </w:tcPr>
          <w:p w14:paraId="193B7528" w14:textId="77777777" w:rsidR="004A7EDA" w:rsidRPr="004A7EDA" w:rsidRDefault="004A7EDA" w:rsidP="00286AE3">
            <w:pPr>
              <w:pStyle w:val="TableHeading"/>
              <w:rPr>
                <w:lang w:val="en-GB"/>
              </w:rPr>
            </w:pPr>
            <w:r w:rsidRPr="004A7EDA">
              <w:rPr>
                <w:lang w:val="en-GB"/>
              </w:rPr>
              <w:t>2020–21 target</w:t>
            </w:r>
          </w:p>
        </w:tc>
        <w:tc>
          <w:tcPr>
            <w:tcW w:w="1418" w:type="dxa"/>
            <w:shd w:val="clear" w:color="auto" w:fill="auto"/>
            <w:tcMar>
              <w:top w:w="113" w:type="dxa"/>
              <w:left w:w="28" w:type="dxa"/>
              <w:bottom w:w="113" w:type="dxa"/>
              <w:right w:w="28" w:type="dxa"/>
            </w:tcMar>
          </w:tcPr>
          <w:p w14:paraId="190A43B8" w14:textId="77777777" w:rsidR="004A7EDA" w:rsidRPr="004A7EDA" w:rsidRDefault="004A7EDA" w:rsidP="00286AE3">
            <w:pPr>
              <w:pStyle w:val="TableHeading"/>
              <w:rPr>
                <w:lang w:val="en-GB"/>
              </w:rPr>
            </w:pPr>
            <w:r w:rsidRPr="004A7EDA">
              <w:rPr>
                <w:lang w:val="en-GB"/>
              </w:rPr>
              <w:t>Performance variation (%)</w:t>
            </w:r>
          </w:p>
        </w:tc>
        <w:tc>
          <w:tcPr>
            <w:tcW w:w="850" w:type="dxa"/>
            <w:shd w:val="clear" w:color="auto" w:fill="auto"/>
            <w:tcMar>
              <w:top w:w="113" w:type="dxa"/>
              <w:left w:w="28" w:type="dxa"/>
              <w:bottom w:w="113" w:type="dxa"/>
              <w:right w:w="28" w:type="dxa"/>
            </w:tcMar>
          </w:tcPr>
          <w:p w14:paraId="39D4A88F" w14:textId="77777777" w:rsidR="004A7EDA" w:rsidRPr="004A7EDA" w:rsidRDefault="004A7EDA" w:rsidP="00286AE3">
            <w:pPr>
              <w:pStyle w:val="TableHeading"/>
              <w:rPr>
                <w:lang w:val="en-GB"/>
              </w:rPr>
            </w:pPr>
            <w:r w:rsidRPr="004A7EDA">
              <w:rPr>
                <w:lang w:val="en-GB"/>
              </w:rPr>
              <w:t>Result</w:t>
            </w:r>
          </w:p>
        </w:tc>
      </w:tr>
      <w:tr w:rsidR="004A7EDA" w:rsidRPr="007370D8" w14:paraId="03895C9F" w14:textId="77777777" w:rsidTr="007370D8">
        <w:trPr>
          <w:trHeight w:val="113"/>
        </w:trPr>
        <w:tc>
          <w:tcPr>
            <w:tcW w:w="9638" w:type="dxa"/>
            <w:gridSpan w:val="6"/>
            <w:shd w:val="clear" w:color="auto" w:fill="auto"/>
            <w:tcMar>
              <w:top w:w="113" w:type="dxa"/>
              <w:left w:w="28" w:type="dxa"/>
              <w:bottom w:w="113" w:type="dxa"/>
              <w:right w:w="28" w:type="dxa"/>
            </w:tcMar>
          </w:tcPr>
          <w:p w14:paraId="4D59A7DB" w14:textId="77777777" w:rsidR="004A7EDA" w:rsidRPr="007370D8" w:rsidRDefault="004A7EDA" w:rsidP="00286AE3">
            <w:pPr>
              <w:pStyle w:val="TableCopy"/>
            </w:pPr>
            <w:r w:rsidRPr="007370D8">
              <w:t>Quantity</w:t>
            </w:r>
          </w:p>
        </w:tc>
      </w:tr>
      <w:tr w:rsidR="004A7EDA" w:rsidRPr="004A7EDA" w14:paraId="64F5AE42" w14:textId="77777777" w:rsidTr="007370D8">
        <w:trPr>
          <w:trHeight w:val="113"/>
        </w:trPr>
        <w:tc>
          <w:tcPr>
            <w:tcW w:w="4252" w:type="dxa"/>
            <w:shd w:val="clear" w:color="auto" w:fill="auto"/>
            <w:tcMar>
              <w:top w:w="113" w:type="dxa"/>
              <w:left w:w="28" w:type="dxa"/>
              <w:bottom w:w="113" w:type="dxa"/>
              <w:right w:w="28" w:type="dxa"/>
            </w:tcMar>
          </w:tcPr>
          <w:p w14:paraId="47B2EDFE" w14:textId="77777777" w:rsidR="004A7EDA" w:rsidRPr="004A7EDA" w:rsidRDefault="004A7EDA" w:rsidP="00286AE3">
            <w:pPr>
              <w:pStyle w:val="TableCopy"/>
              <w:rPr>
                <w:lang w:val="en-GB"/>
              </w:rPr>
            </w:pPr>
            <w:r w:rsidRPr="004A7EDA">
              <w:rPr>
                <w:lang w:val="en-GB"/>
              </w:rPr>
              <w:t xml:space="preserve">Actual export sales generated for regional businesses </w:t>
            </w:r>
            <w:proofErr w:type="gramStart"/>
            <w:r w:rsidRPr="004A7EDA">
              <w:rPr>
                <w:lang w:val="en-GB"/>
              </w:rPr>
              <w:t>as a result of</w:t>
            </w:r>
            <w:proofErr w:type="gramEnd"/>
            <w:r w:rsidRPr="004A7EDA">
              <w:rPr>
                <w:lang w:val="en-GB"/>
              </w:rPr>
              <w:t xml:space="preserve"> participation in government programs</w:t>
            </w:r>
          </w:p>
        </w:tc>
        <w:tc>
          <w:tcPr>
            <w:tcW w:w="1134" w:type="dxa"/>
            <w:shd w:val="clear" w:color="auto" w:fill="auto"/>
            <w:tcMar>
              <w:top w:w="113" w:type="dxa"/>
              <w:left w:w="28" w:type="dxa"/>
              <w:bottom w:w="113" w:type="dxa"/>
              <w:right w:w="28" w:type="dxa"/>
            </w:tcMar>
          </w:tcPr>
          <w:p w14:paraId="366105E3" w14:textId="77777777" w:rsidR="004A7EDA" w:rsidRPr="004A7EDA" w:rsidRDefault="004A7EDA" w:rsidP="00286AE3">
            <w:pPr>
              <w:pStyle w:val="TableCopy"/>
              <w:rPr>
                <w:lang w:val="en-GB"/>
              </w:rPr>
            </w:pPr>
            <w:r w:rsidRPr="004A7EDA">
              <w:rPr>
                <w:lang w:val="en-GB"/>
              </w:rPr>
              <w:t>$ million</w:t>
            </w:r>
          </w:p>
        </w:tc>
        <w:tc>
          <w:tcPr>
            <w:tcW w:w="998" w:type="dxa"/>
            <w:shd w:val="clear" w:color="auto" w:fill="auto"/>
            <w:tcMar>
              <w:top w:w="113" w:type="dxa"/>
              <w:left w:w="28" w:type="dxa"/>
              <w:bottom w:w="113" w:type="dxa"/>
              <w:right w:w="28" w:type="dxa"/>
            </w:tcMar>
          </w:tcPr>
          <w:p w14:paraId="432B9C6C" w14:textId="77777777" w:rsidR="004A7EDA" w:rsidRPr="004A7EDA" w:rsidRDefault="004A7EDA" w:rsidP="00286AE3">
            <w:pPr>
              <w:pStyle w:val="TableCopy"/>
              <w:rPr>
                <w:lang w:val="en-GB"/>
              </w:rPr>
            </w:pPr>
            <w:r w:rsidRPr="004A7EDA">
              <w:rPr>
                <w:lang w:val="en-GB"/>
              </w:rPr>
              <w:t>97</w:t>
            </w:r>
          </w:p>
        </w:tc>
        <w:tc>
          <w:tcPr>
            <w:tcW w:w="986" w:type="dxa"/>
            <w:shd w:val="clear" w:color="auto" w:fill="auto"/>
            <w:tcMar>
              <w:top w:w="113" w:type="dxa"/>
              <w:left w:w="28" w:type="dxa"/>
              <w:bottom w:w="113" w:type="dxa"/>
              <w:right w:w="28" w:type="dxa"/>
            </w:tcMar>
          </w:tcPr>
          <w:p w14:paraId="7B1CB598" w14:textId="77777777" w:rsidR="004A7EDA" w:rsidRPr="004A7EDA" w:rsidRDefault="004A7EDA" w:rsidP="00286AE3">
            <w:pPr>
              <w:pStyle w:val="TableCopy"/>
              <w:rPr>
                <w:lang w:val="en-GB"/>
              </w:rPr>
            </w:pPr>
            <w:r w:rsidRPr="004A7EDA">
              <w:rPr>
                <w:lang w:val="en-GB"/>
              </w:rPr>
              <w:t>110</w:t>
            </w:r>
          </w:p>
        </w:tc>
        <w:tc>
          <w:tcPr>
            <w:tcW w:w="1418" w:type="dxa"/>
            <w:shd w:val="clear" w:color="auto" w:fill="auto"/>
            <w:tcMar>
              <w:top w:w="113" w:type="dxa"/>
              <w:left w:w="28" w:type="dxa"/>
              <w:bottom w:w="113" w:type="dxa"/>
              <w:right w:w="28" w:type="dxa"/>
            </w:tcMar>
          </w:tcPr>
          <w:p w14:paraId="176F8AAC" w14:textId="77777777" w:rsidR="004A7EDA" w:rsidRPr="004A7EDA" w:rsidRDefault="004A7EDA" w:rsidP="00286AE3">
            <w:pPr>
              <w:pStyle w:val="TableCopy"/>
              <w:rPr>
                <w:lang w:val="en-GB"/>
              </w:rPr>
            </w:pPr>
            <w:r w:rsidRPr="004A7EDA">
              <w:rPr>
                <w:lang w:val="en-GB"/>
              </w:rPr>
              <w:t>-11.8%</w:t>
            </w:r>
          </w:p>
        </w:tc>
        <w:tc>
          <w:tcPr>
            <w:tcW w:w="850" w:type="dxa"/>
            <w:shd w:val="clear" w:color="auto" w:fill="auto"/>
            <w:tcMar>
              <w:top w:w="113" w:type="dxa"/>
              <w:left w:w="28" w:type="dxa"/>
              <w:bottom w:w="113" w:type="dxa"/>
              <w:right w:w="28" w:type="dxa"/>
            </w:tcMar>
          </w:tcPr>
          <w:p w14:paraId="2D27A51A" w14:textId="19B696A5" w:rsidR="004A7EDA" w:rsidRPr="004A7EDA" w:rsidRDefault="008E286C" w:rsidP="00286AE3">
            <w:pPr>
              <w:pStyle w:val="TableCopy"/>
              <w:rPr>
                <w:lang w:val="en-GB"/>
              </w:rPr>
            </w:pPr>
            <w:r>
              <w:rPr>
                <w:lang w:val="en-GB"/>
              </w:rPr>
              <w:t>#</w:t>
            </w:r>
          </w:p>
        </w:tc>
      </w:tr>
      <w:tr w:rsidR="004A7EDA" w:rsidRPr="004A7EDA" w14:paraId="4FEBB024" w14:textId="77777777" w:rsidTr="007370D8">
        <w:trPr>
          <w:trHeight w:val="113"/>
        </w:trPr>
        <w:tc>
          <w:tcPr>
            <w:tcW w:w="9638" w:type="dxa"/>
            <w:gridSpan w:val="6"/>
            <w:shd w:val="clear" w:color="auto" w:fill="auto"/>
            <w:tcMar>
              <w:top w:w="113" w:type="dxa"/>
              <w:left w:w="113" w:type="dxa"/>
              <w:bottom w:w="113" w:type="dxa"/>
              <w:right w:w="113" w:type="dxa"/>
            </w:tcMar>
          </w:tcPr>
          <w:p w14:paraId="402B15AF" w14:textId="77777777" w:rsidR="004A7EDA" w:rsidRPr="004A7EDA" w:rsidRDefault="004A7EDA" w:rsidP="00286AE3">
            <w:pPr>
              <w:pStyle w:val="TableCopy"/>
            </w:pPr>
            <w:r w:rsidRPr="004A7EDA">
              <w:t>Lower result due to the significant impacts of COVID-19 restrictions on businesses and their ability to export and the availability</w:t>
            </w:r>
            <w:r w:rsidRPr="004A7EDA">
              <w:br/>
              <w:t>of freight services.</w:t>
            </w:r>
          </w:p>
        </w:tc>
      </w:tr>
      <w:tr w:rsidR="004A7EDA" w:rsidRPr="004A7EDA" w14:paraId="7A04E322" w14:textId="77777777" w:rsidTr="007370D8">
        <w:trPr>
          <w:trHeight w:val="113"/>
        </w:trPr>
        <w:tc>
          <w:tcPr>
            <w:tcW w:w="4252" w:type="dxa"/>
            <w:shd w:val="clear" w:color="auto" w:fill="auto"/>
            <w:tcMar>
              <w:top w:w="113" w:type="dxa"/>
              <w:left w:w="28" w:type="dxa"/>
              <w:bottom w:w="113" w:type="dxa"/>
              <w:right w:w="28" w:type="dxa"/>
            </w:tcMar>
          </w:tcPr>
          <w:p w14:paraId="1FD13F8E" w14:textId="77777777" w:rsidR="004A7EDA" w:rsidRPr="004A7EDA" w:rsidRDefault="004A7EDA" w:rsidP="00286AE3">
            <w:pPr>
              <w:pStyle w:val="TableCopy"/>
              <w:rPr>
                <w:lang w:val="en-GB"/>
              </w:rPr>
            </w:pPr>
            <w:r w:rsidRPr="004A7EDA">
              <w:rPr>
                <w:lang w:val="en-GB"/>
              </w:rPr>
              <w:t>Economic development and service delivery projects supported</w:t>
            </w:r>
          </w:p>
        </w:tc>
        <w:tc>
          <w:tcPr>
            <w:tcW w:w="1134" w:type="dxa"/>
            <w:shd w:val="clear" w:color="auto" w:fill="auto"/>
            <w:tcMar>
              <w:top w:w="113" w:type="dxa"/>
              <w:left w:w="28" w:type="dxa"/>
              <w:bottom w:w="113" w:type="dxa"/>
              <w:right w:w="28" w:type="dxa"/>
            </w:tcMar>
          </w:tcPr>
          <w:p w14:paraId="397FE255" w14:textId="77777777" w:rsidR="004A7EDA" w:rsidRPr="004A7EDA" w:rsidRDefault="004A7EDA" w:rsidP="00286AE3">
            <w:pPr>
              <w:pStyle w:val="TableCopy"/>
              <w:rPr>
                <w:lang w:val="en-GB"/>
              </w:rPr>
            </w:pPr>
            <w:r w:rsidRPr="004A7EDA">
              <w:rPr>
                <w:lang w:val="en-GB"/>
              </w:rPr>
              <w:t>number</w:t>
            </w:r>
          </w:p>
        </w:tc>
        <w:tc>
          <w:tcPr>
            <w:tcW w:w="998" w:type="dxa"/>
            <w:shd w:val="clear" w:color="auto" w:fill="auto"/>
            <w:tcMar>
              <w:top w:w="113" w:type="dxa"/>
              <w:left w:w="28" w:type="dxa"/>
              <w:bottom w:w="113" w:type="dxa"/>
              <w:right w:w="28" w:type="dxa"/>
            </w:tcMar>
          </w:tcPr>
          <w:p w14:paraId="7A1AB61C" w14:textId="77777777" w:rsidR="004A7EDA" w:rsidRPr="004A7EDA" w:rsidRDefault="004A7EDA" w:rsidP="00286AE3">
            <w:pPr>
              <w:pStyle w:val="TableCopy"/>
              <w:rPr>
                <w:lang w:val="en-GB"/>
              </w:rPr>
            </w:pPr>
            <w:r w:rsidRPr="004A7EDA">
              <w:rPr>
                <w:lang w:val="en-GB"/>
              </w:rPr>
              <w:t>677</w:t>
            </w:r>
          </w:p>
        </w:tc>
        <w:tc>
          <w:tcPr>
            <w:tcW w:w="986" w:type="dxa"/>
            <w:shd w:val="clear" w:color="auto" w:fill="auto"/>
            <w:tcMar>
              <w:top w:w="113" w:type="dxa"/>
              <w:left w:w="28" w:type="dxa"/>
              <w:bottom w:w="113" w:type="dxa"/>
              <w:right w:w="28" w:type="dxa"/>
            </w:tcMar>
          </w:tcPr>
          <w:p w14:paraId="6DC94B34" w14:textId="77777777" w:rsidR="004A7EDA" w:rsidRPr="004A7EDA" w:rsidRDefault="004A7EDA" w:rsidP="00286AE3">
            <w:pPr>
              <w:pStyle w:val="TableCopy"/>
              <w:rPr>
                <w:lang w:val="en-GB"/>
              </w:rPr>
            </w:pPr>
            <w:r w:rsidRPr="004A7EDA">
              <w:rPr>
                <w:lang w:val="en-GB"/>
              </w:rPr>
              <w:t>150</w:t>
            </w:r>
          </w:p>
        </w:tc>
        <w:tc>
          <w:tcPr>
            <w:tcW w:w="1418" w:type="dxa"/>
            <w:shd w:val="clear" w:color="auto" w:fill="auto"/>
            <w:tcMar>
              <w:top w:w="113" w:type="dxa"/>
              <w:left w:w="28" w:type="dxa"/>
              <w:bottom w:w="113" w:type="dxa"/>
              <w:right w:w="28" w:type="dxa"/>
            </w:tcMar>
          </w:tcPr>
          <w:p w14:paraId="5E56ED9E" w14:textId="77777777" w:rsidR="004A7EDA" w:rsidRPr="004A7EDA" w:rsidRDefault="004A7EDA" w:rsidP="00286AE3">
            <w:pPr>
              <w:pStyle w:val="TableCopy"/>
              <w:rPr>
                <w:lang w:val="en-GB"/>
              </w:rPr>
            </w:pPr>
            <w:r w:rsidRPr="004A7EDA">
              <w:rPr>
                <w:lang w:val="en-GB"/>
              </w:rPr>
              <w:t>351.3%</w:t>
            </w:r>
          </w:p>
        </w:tc>
        <w:tc>
          <w:tcPr>
            <w:tcW w:w="850" w:type="dxa"/>
            <w:shd w:val="clear" w:color="auto" w:fill="auto"/>
            <w:tcMar>
              <w:top w:w="113" w:type="dxa"/>
              <w:left w:w="28" w:type="dxa"/>
              <w:bottom w:w="113" w:type="dxa"/>
              <w:right w:w="28" w:type="dxa"/>
            </w:tcMar>
          </w:tcPr>
          <w:p w14:paraId="47E6BD9C" w14:textId="6D33D715" w:rsidR="004A7EDA" w:rsidRPr="004A7EDA" w:rsidRDefault="008E286C" w:rsidP="00286AE3">
            <w:pPr>
              <w:pStyle w:val="TableCopy"/>
              <w:rPr>
                <w:lang w:val="en-GB"/>
              </w:rPr>
            </w:pPr>
            <w:r>
              <w:rPr>
                <w:lang w:val="en-GB"/>
              </w:rPr>
              <w:t>*</w:t>
            </w:r>
          </w:p>
        </w:tc>
      </w:tr>
      <w:tr w:rsidR="004A7EDA" w:rsidRPr="004A7EDA" w14:paraId="65FFD459" w14:textId="77777777" w:rsidTr="007370D8">
        <w:trPr>
          <w:trHeight w:val="113"/>
        </w:trPr>
        <w:tc>
          <w:tcPr>
            <w:tcW w:w="9638" w:type="dxa"/>
            <w:gridSpan w:val="6"/>
            <w:shd w:val="clear" w:color="auto" w:fill="auto"/>
            <w:tcMar>
              <w:top w:w="113" w:type="dxa"/>
              <w:left w:w="113" w:type="dxa"/>
              <w:bottom w:w="113" w:type="dxa"/>
              <w:right w:w="113" w:type="dxa"/>
            </w:tcMar>
          </w:tcPr>
          <w:p w14:paraId="288A8AE9" w14:textId="77777777" w:rsidR="004A7EDA" w:rsidRPr="004A7EDA" w:rsidRDefault="004A7EDA" w:rsidP="00286AE3">
            <w:pPr>
              <w:pStyle w:val="TableCopy"/>
            </w:pPr>
            <w:r w:rsidRPr="004A7EDA">
              <w:lastRenderedPageBreak/>
              <w:t>Higher result due to the considerable amount of grant funding awarded as stimulus following the 2019–20 bushfires and COVID-19 pandemic; 80 per cent of the actual outcome is attributable to one-off COVID-19 and bushfire response programs, 20 per cent is attributable to ‘business as usual’ programs and activities.</w:t>
            </w:r>
          </w:p>
        </w:tc>
      </w:tr>
      <w:tr w:rsidR="004A7EDA" w:rsidRPr="004A7EDA" w14:paraId="5BD582AA" w14:textId="77777777" w:rsidTr="007370D8">
        <w:trPr>
          <w:trHeight w:val="113"/>
        </w:trPr>
        <w:tc>
          <w:tcPr>
            <w:tcW w:w="4252" w:type="dxa"/>
            <w:shd w:val="clear" w:color="auto" w:fill="auto"/>
            <w:tcMar>
              <w:top w:w="113" w:type="dxa"/>
              <w:left w:w="28" w:type="dxa"/>
              <w:bottom w:w="113" w:type="dxa"/>
              <w:right w:w="28" w:type="dxa"/>
            </w:tcMar>
          </w:tcPr>
          <w:p w14:paraId="22825405" w14:textId="77777777" w:rsidR="004A7EDA" w:rsidRPr="004A7EDA" w:rsidRDefault="004A7EDA" w:rsidP="00286AE3">
            <w:pPr>
              <w:pStyle w:val="TableCopy"/>
              <w:rPr>
                <w:lang w:val="en-GB"/>
              </w:rPr>
            </w:pPr>
            <w:r w:rsidRPr="004A7EDA">
              <w:rPr>
                <w:lang w:val="en-GB"/>
              </w:rPr>
              <w:t>Jobs in regional Victoria resulting from government investment facilitation services and assistance</w:t>
            </w:r>
          </w:p>
        </w:tc>
        <w:tc>
          <w:tcPr>
            <w:tcW w:w="1134" w:type="dxa"/>
            <w:shd w:val="clear" w:color="auto" w:fill="auto"/>
            <w:tcMar>
              <w:top w:w="113" w:type="dxa"/>
              <w:left w:w="28" w:type="dxa"/>
              <w:bottom w:w="113" w:type="dxa"/>
              <w:right w:w="28" w:type="dxa"/>
            </w:tcMar>
          </w:tcPr>
          <w:p w14:paraId="7CDDF6B0" w14:textId="77777777" w:rsidR="004A7EDA" w:rsidRPr="004A7EDA" w:rsidRDefault="004A7EDA" w:rsidP="00286AE3">
            <w:pPr>
              <w:pStyle w:val="TableCopy"/>
              <w:rPr>
                <w:lang w:val="en-GB"/>
              </w:rPr>
            </w:pPr>
            <w:r w:rsidRPr="004A7EDA">
              <w:rPr>
                <w:lang w:val="en-GB"/>
              </w:rPr>
              <w:t>number</w:t>
            </w:r>
          </w:p>
        </w:tc>
        <w:tc>
          <w:tcPr>
            <w:tcW w:w="998" w:type="dxa"/>
            <w:shd w:val="clear" w:color="auto" w:fill="auto"/>
            <w:tcMar>
              <w:top w:w="113" w:type="dxa"/>
              <w:left w:w="28" w:type="dxa"/>
              <w:bottom w:w="113" w:type="dxa"/>
              <w:right w:w="28" w:type="dxa"/>
            </w:tcMar>
          </w:tcPr>
          <w:p w14:paraId="6A4DCAF3" w14:textId="77777777" w:rsidR="004A7EDA" w:rsidRPr="004A7EDA" w:rsidRDefault="004A7EDA" w:rsidP="00286AE3">
            <w:pPr>
              <w:pStyle w:val="TableCopy"/>
              <w:rPr>
                <w:lang w:val="en-GB"/>
              </w:rPr>
            </w:pPr>
            <w:r w:rsidRPr="004A7EDA">
              <w:rPr>
                <w:lang w:val="en-GB"/>
              </w:rPr>
              <w:t>1,468</w:t>
            </w:r>
          </w:p>
        </w:tc>
        <w:tc>
          <w:tcPr>
            <w:tcW w:w="986" w:type="dxa"/>
            <w:shd w:val="clear" w:color="auto" w:fill="auto"/>
            <w:tcMar>
              <w:top w:w="113" w:type="dxa"/>
              <w:left w:w="28" w:type="dxa"/>
              <w:bottom w:w="113" w:type="dxa"/>
              <w:right w:w="28" w:type="dxa"/>
            </w:tcMar>
          </w:tcPr>
          <w:p w14:paraId="456FC6C9" w14:textId="77777777" w:rsidR="004A7EDA" w:rsidRPr="004A7EDA" w:rsidRDefault="004A7EDA" w:rsidP="00286AE3">
            <w:pPr>
              <w:pStyle w:val="TableCopy"/>
              <w:rPr>
                <w:lang w:val="en-GB"/>
              </w:rPr>
            </w:pPr>
            <w:r w:rsidRPr="004A7EDA">
              <w:rPr>
                <w:lang w:val="en-GB"/>
              </w:rPr>
              <w:t>1,770</w:t>
            </w:r>
          </w:p>
        </w:tc>
        <w:tc>
          <w:tcPr>
            <w:tcW w:w="1418" w:type="dxa"/>
            <w:shd w:val="clear" w:color="auto" w:fill="auto"/>
            <w:tcMar>
              <w:top w:w="113" w:type="dxa"/>
              <w:left w:w="28" w:type="dxa"/>
              <w:bottom w:w="113" w:type="dxa"/>
              <w:right w:w="28" w:type="dxa"/>
            </w:tcMar>
          </w:tcPr>
          <w:p w14:paraId="6C29E62F" w14:textId="77777777" w:rsidR="004A7EDA" w:rsidRPr="004A7EDA" w:rsidRDefault="004A7EDA" w:rsidP="00286AE3">
            <w:pPr>
              <w:pStyle w:val="TableCopy"/>
              <w:rPr>
                <w:lang w:val="en-GB"/>
              </w:rPr>
            </w:pPr>
            <w:r w:rsidRPr="004A7EDA">
              <w:rPr>
                <w:lang w:val="en-GB"/>
              </w:rPr>
              <w:t>-17.1%</w:t>
            </w:r>
          </w:p>
        </w:tc>
        <w:tc>
          <w:tcPr>
            <w:tcW w:w="850" w:type="dxa"/>
            <w:shd w:val="clear" w:color="auto" w:fill="auto"/>
            <w:tcMar>
              <w:top w:w="113" w:type="dxa"/>
              <w:left w:w="28" w:type="dxa"/>
              <w:bottom w:w="113" w:type="dxa"/>
              <w:right w:w="28" w:type="dxa"/>
            </w:tcMar>
          </w:tcPr>
          <w:p w14:paraId="1E7078C3" w14:textId="41A9608B" w:rsidR="004A7EDA" w:rsidRPr="004A7EDA" w:rsidRDefault="008E286C" w:rsidP="00286AE3">
            <w:pPr>
              <w:pStyle w:val="TableCopy"/>
              <w:rPr>
                <w:lang w:val="en-GB"/>
              </w:rPr>
            </w:pPr>
            <w:r>
              <w:rPr>
                <w:lang w:val="en-GB"/>
              </w:rPr>
              <w:t>#</w:t>
            </w:r>
          </w:p>
        </w:tc>
      </w:tr>
      <w:tr w:rsidR="004A7EDA" w:rsidRPr="004A7EDA" w14:paraId="668B23E0" w14:textId="77777777" w:rsidTr="007370D8">
        <w:trPr>
          <w:trHeight w:val="113"/>
        </w:trPr>
        <w:tc>
          <w:tcPr>
            <w:tcW w:w="9638" w:type="dxa"/>
            <w:gridSpan w:val="6"/>
            <w:shd w:val="clear" w:color="auto" w:fill="auto"/>
            <w:tcMar>
              <w:top w:w="113" w:type="dxa"/>
              <w:left w:w="113" w:type="dxa"/>
              <w:bottom w:w="113" w:type="dxa"/>
              <w:right w:w="113" w:type="dxa"/>
            </w:tcMar>
          </w:tcPr>
          <w:p w14:paraId="2902ABF2" w14:textId="77777777" w:rsidR="004A7EDA" w:rsidRPr="004A7EDA" w:rsidRDefault="004A7EDA" w:rsidP="00286AE3">
            <w:pPr>
              <w:pStyle w:val="TableCopy"/>
            </w:pPr>
            <w:r w:rsidRPr="004A7EDA">
              <w:t>Lower result due to the impacts of COVID-19 restrictions on businesses and their growth/employment intentions.</w:t>
            </w:r>
          </w:p>
        </w:tc>
      </w:tr>
      <w:tr w:rsidR="004A7EDA" w:rsidRPr="004A7EDA" w14:paraId="7D5877F2" w14:textId="77777777" w:rsidTr="007370D8">
        <w:trPr>
          <w:trHeight w:val="113"/>
        </w:trPr>
        <w:tc>
          <w:tcPr>
            <w:tcW w:w="4252" w:type="dxa"/>
            <w:shd w:val="clear" w:color="auto" w:fill="auto"/>
            <w:tcMar>
              <w:top w:w="113" w:type="dxa"/>
              <w:left w:w="28" w:type="dxa"/>
              <w:bottom w:w="113" w:type="dxa"/>
              <w:right w:w="28" w:type="dxa"/>
            </w:tcMar>
          </w:tcPr>
          <w:p w14:paraId="02EC34BA" w14:textId="77777777" w:rsidR="004A7EDA" w:rsidRPr="004A7EDA" w:rsidRDefault="004A7EDA" w:rsidP="00286AE3">
            <w:pPr>
              <w:pStyle w:val="TableCopy"/>
              <w:rPr>
                <w:lang w:val="en-GB"/>
              </w:rPr>
            </w:pPr>
            <w:r w:rsidRPr="004A7EDA">
              <w:rPr>
                <w:lang w:val="en-GB"/>
              </w:rPr>
              <w:t>New investment in regional Victoria resulting from government facilitation services and assistance</w:t>
            </w:r>
          </w:p>
        </w:tc>
        <w:tc>
          <w:tcPr>
            <w:tcW w:w="1134" w:type="dxa"/>
            <w:shd w:val="clear" w:color="auto" w:fill="auto"/>
            <w:tcMar>
              <w:top w:w="113" w:type="dxa"/>
              <w:left w:w="28" w:type="dxa"/>
              <w:bottom w:w="113" w:type="dxa"/>
              <w:right w:w="28" w:type="dxa"/>
            </w:tcMar>
          </w:tcPr>
          <w:p w14:paraId="3AAF69B6" w14:textId="77777777" w:rsidR="004A7EDA" w:rsidRPr="004A7EDA" w:rsidRDefault="004A7EDA" w:rsidP="00286AE3">
            <w:pPr>
              <w:pStyle w:val="TableCopy"/>
              <w:rPr>
                <w:lang w:val="en-GB"/>
              </w:rPr>
            </w:pPr>
            <w:r w:rsidRPr="004A7EDA">
              <w:rPr>
                <w:lang w:val="en-GB"/>
              </w:rPr>
              <w:t>$ million</w:t>
            </w:r>
          </w:p>
        </w:tc>
        <w:tc>
          <w:tcPr>
            <w:tcW w:w="998" w:type="dxa"/>
            <w:shd w:val="clear" w:color="auto" w:fill="auto"/>
            <w:tcMar>
              <w:top w:w="113" w:type="dxa"/>
              <w:left w:w="28" w:type="dxa"/>
              <w:bottom w:w="113" w:type="dxa"/>
              <w:right w:w="28" w:type="dxa"/>
            </w:tcMar>
          </w:tcPr>
          <w:p w14:paraId="7677300D" w14:textId="77777777" w:rsidR="004A7EDA" w:rsidRPr="004A7EDA" w:rsidRDefault="004A7EDA" w:rsidP="00286AE3">
            <w:pPr>
              <w:pStyle w:val="TableCopy"/>
              <w:rPr>
                <w:lang w:val="en-GB"/>
              </w:rPr>
            </w:pPr>
            <w:r w:rsidRPr="004A7EDA">
              <w:rPr>
                <w:lang w:val="en-GB"/>
              </w:rPr>
              <w:t>906.7</w:t>
            </w:r>
          </w:p>
        </w:tc>
        <w:tc>
          <w:tcPr>
            <w:tcW w:w="986" w:type="dxa"/>
            <w:shd w:val="clear" w:color="auto" w:fill="auto"/>
            <w:tcMar>
              <w:top w:w="113" w:type="dxa"/>
              <w:left w:w="28" w:type="dxa"/>
              <w:bottom w:w="113" w:type="dxa"/>
              <w:right w:w="28" w:type="dxa"/>
            </w:tcMar>
          </w:tcPr>
          <w:p w14:paraId="557B57C2" w14:textId="77777777" w:rsidR="004A7EDA" w:rsidRPr="004A7EDA" w:rsidRDefault="004A7EDA" w:rsidP="00286AE3">
            <w:pPr>
              <w:pStyle w:val="TableCopy"/>
              <w:rPr>
                <w:lang w:val="en-GB"/>
              </w:rPr>
            </w:pPr>
            <w:r w:rsidRPr="004A7EDA">
              <w:rPr>
                <w:lang w:val="en-GB"/>
              </w:rPr>
              <w:t>1,400</w:t>
            </w:r>
          </w:p>
        </w:tc>
        <w:tc>
          <w:tcPr>
            <w:tcW w:w="1418" w:type="dxa"/>
            <w:shd w:val="clear" w:color="auto" w:fill="auto"/>
            <w:tcMar>
              <w:top w:w="113" w:type="dxa"/>
              <w:left w:w="28" w:type="dxa"/>
              <w:bottom w:w="113" w:type="dxa"/>
              <w:right w:w="28" w:type="dxa"/>
            </w:tcMar>
          </w:tcPr>
          <w:p w14:paraId="77E2A330" w14:textId="77777777" w:rsidR="004A7EDA" w:rsidRPr="004A7EDA" w:rsidRDefault="004A7EDA" w:rsidP="00286AE3">
            <w:pPr>
              <w:pStyle w:val="TableCopy"/>
              <w:rPr>
                <w:lang w:val="en-GB"/>
              </w:rPr>
            </w:pPr>
            <w:r w:rsidRPr="004A7EDA">
              <w:rPr>
                <w:lang w:val="en-GB"/>
              </w:rPr>
              <w:t>-35.2%</w:t>
            </w:r>
          </w:p>
        </w:tc>
        <w:tc>
          <w:tcPr>
            <w:tcW w:w="850" w:type="dxa"/>
            <w:shd w:val="clear" w:color="auto" w:fill="auto"/>
            <w:tcMar>
              <w:top w:w="113" w:type="dxa"/>
              <w:left w:w="28" w:type="dxa"/>
              <w:bottom w:w="113" w:type="dxa"/>
              <w:right w:w="28" w:type="dxa"/>
            </w:tcMar>
          </w:tcPr>
          <w:p w14:paraId="4C9B4FFD" w14:textId="2F655228" w:rsidR="004A7EDA" w:rsidRPr="004A7EDA" w:rsidRDefault="008E286C" w:rsidP="00286AE3">
            <w:pPr>
              <w:pStyle w:val="TableCopy"/>
              <w:rPr>
                <w:lang w:val="en-GB"/>
              </w:rPr>
            </w:pPr>
            <w:r>
              <w:rPr>
                <w:lang w:val="en-GB"/>
              </w:rPr>
              <w:t>#</w:t>
            </w:r>
          </w:p>
        </w:tc>
      </w:tr>
      <w:tr w:rsidR="004A7EDA" w:rsidRPr="004A7EDA" w14:paraId="4D9C2806" w14:textId="77777777" w:rsidTr="007370D8">
        <w:trPr>
          <w:trHeight w:val="113"/>
        </w:trPr>
        <w:tc>
          <w:tcPr>
            <w:tcW w:w="9638" w:type="dxa"/>
            <w:gridSpan w:val="6"/>
            <w:shd w:val="clear" w:color="auto" w:fill="auto"/>
            <w:tcMar>
              <w:top w:w="113" w:type="dxa"/>
              <w:left w:w="113" w:type="dxa"/>
              <w:bottom w:w="113" w:type="dxa"/>
              <w:right w:w="113" w:type="dxa"/>
            </w:tcMar>
          </w:tcPr>
          <w:p w14:paraId="45FE735A" w14:textId="77777777" w:rsidR="004A7EDA" w:rsidRPr="004A7EDA" w:rsidRDefault="004A7EDA" w:rsidP="00286AE3">
            <w:pPr>
              <w:pStyle w:val="TableCopy"/>
            </w:pPr>
            <w:r w:rsidRPr="004A7EDA">
              <w:t>Lower result due to the impacts of COVID-19 restrictions on businesses and their growth/employment intentions.</w:t>
            </w:r>
          </w:p>
        </w:tc>
      </w:tr>
      <w:tr w:rsidR="004A7EDA" w:rsidRPr="007370D8" w14:paraId="0BEECB23" w14:textId="77777777" w:rsidTr="007370D8">
        <w:trPr>
          <w:trHeight w:val="113"/>
        </w:trPr>
        <w:tc>
          <w:tcPr>
            <w:tcW w:w="9638" w:type="dxa"/>
            <w:gridSpan w:val="6"/>
            <w:shd w:val="clear" w:color="auto" w:fill="auto"/>
            <w:tcMar>
              <w:top w:w="113" w:type="dxa"/>
              <w:left w:w="28" w:type="dxa"/>
              <w:bottom w:w="113" w:type="dxa"/>
              <w:right w:w="28" w:type="dxa"/>
            </w:tcMar>
          </w:tcPr>
          <w:p w14:paraId="7AB85055" w14:textId="77777777" w:rsidR="004A7EDA" w:rsidRPr="007370D8" w:rsidRDefault="004A7EDA" w:rsidP="00286AE3">
            <w:pPr>
              <w:pStyle w:val="TableCopy"/>
            </w:pPr>
            <w:r w:rsidRPr="007370D8">
              <w:t>Quality</w:t>
            </w:r>
          </w:p>
        </w:tc>
      </w:tr>
      <w:tr w:rsidR="004A7EDA" w:rsidRPr="004A7EDA" w14:paraId="48D08B27" w14:textId="77777777" w:rsidTr="007370D8">
        <w:trPr>
          <w:trHeight w:val="113"/>
        </w:trPr>
        <w:tc>
          <w:tcPr>
            <w:tcW w:w="4252" w:type="dxa"/>
            <w:shd w:val="clear" w:color="auto" w:fill="auto"/>
            <w:tcMar>
              <w:top w:w="113" w:type="dxa"/>
              <w:left w:w="28" w:type="dxa"/>
              <w:bottom w:w="113" w:type="dxa"/>
              <w:right w:w="28" w:type="dxa"/>
            </w:tcMar>
          </w:tcPr>
          <w:p w14:paraId="62F3B3BD" w14:textId="77777777" w:rsidR="004A7EDA" w:rsidRPr="004A7EDA" w:rsidRDefault="004A7EDA" w:rsidP="00286AE3">
            <w:pPr>
              <w:pStyle w:val="TableCopy"/>
              <w:rPr>
                <w:lang w:val="en-GB"/>
              </w:rPr>
            </w:pPr>
            <w:r w:rsidRPr="004A7EDA">
              <w:rPr>
                <w:lang w:val="en-GB"/>
              </w:rPr>
              <w:t>Participant satisfaction with implementation</w:t>
            </w:r>
            <w:r w:rsidRPr="004A7EDA">
              <w:rPr>
                <w:lang w:val="en-GB"/>
              </w:rPr>
              <w:br/>
              <w:t>of Regional Development Victoria programs</w:t>
            </w:r>
          </w:p>
        </w:tc>
        <w:tc>
          <w:tcPr>
            <w:tcW w:w="1134" w:type="dxa"/>
            <w:shd w:val="clear" w:color="auto" w:fill="auto"/>
            <w:tcMar>
              <w:top w:w="113" w:type="dxa"/>
              <w:left w:w="28" w:type="dxa"/>
              <w:bottom w:w="113" w:type="dxa"/>
              <w:right w:w="28" w:type="dxa"/>
            </w:tcMar>
          </w:tcPr>
          <w:p w14:paraId="3A433214" w14:textId="77777777" w:rsidR="004A7EDA" w:rsidRPr="004A7EDA" w:rsidRDefault="004A7EDA" w:rsidP="00286AE3">
            <w:pPr>
              <w:pStyle w:val="TableCopy"/>
              <w:rPr>
                <w:lang w:val="en-GB"/>
              </w:rPr>
            </w:pPr>
            <w:r w:rsidRPr="004A7EDA">
              <w:rPr>
                <w:lang w:val="en-GB"/>
              </w:rPr>
              <w:t>per cent</w:t>
            </w:r>
          </w:p>
        </w:tc>
        <w:tc>
          <w:tcPr>
            <w:tcW w:w="998" w:type="dxa"/>
            <w:shd w:val="clear" w:color="auto" w:fill="auto"/>
            <w:tcMar>
              <w:top w:w="113" w:type="dxa"/>
              <w:left w:w="28" w:type="dxa"/>
              <w:bottom w:w="113" w:type="dxa"/>
              <w:right w:w="28" w:type="dxa"/>
            </w:tcMar>
          </w:tcPr>
          <w:p w14:paraId="3EE4E9A1" w14:textId="77777777" w:rsidR="004A7EDA" w:rsidRPr="004A7EDA" w:rsidRDefault="004A7EDA" w:rsidP="00286AE3">
            <w:pPr>
              <w:pStyle w:val="TableCopy"/>
              <w:rPr>
                <w:lang w:val="en-GB"/>
              </w:rPr>
            </w:pPr>
            <w:r w:rsidRPr="004A7EDA">
              <w:rPr>
                <w:lang w:val="en-GB"/>
              </w:rPr>
              <w:t>98</w:t>
            </w:r>
          </w:p>
        </w:tc>
        <w:tc>
          <w:tcPr>
            <w:tcW w:w="986" w:type="dxa"/>
            <w:shd w:val="clear" w:color="auto" w:fill="auto"/>
            <w:tcMar>
              <w:top w:w="113" w:type="dxa"/>
              <w:left w:w="28" w:type="dxa"/>
              <w:bottom w:w="113" w:type="dxa"/>
              <w:right w:w="28" w:type="dxa"/>
            </w:tcMar>
          </w:tcPr>
          <w:p w14:paraId="6EE3A073" w14:textId="77777777" w:rsidR="004A7EDA" w:rsidRPr="004A7EDA" w:rsidRDefault="004A7EDA" w:rsidP="00286AE3">
            <w:pPr>
              <w:pStyle w:val="TableCopy"/>
              <w:rPr>
                <w:lang w:val="en-GB"/>
              </w:rPr>
            </w:pPr>
            <w:r w:rsidRPr="004A7EDA">
              <w:rPr>
                <w:lang w:val="en-GB"/>
              </w:rPr>
              <w:t>90</w:t>
            </w:r>
          </w:p>
        </w:tc>
        <w:tc>
          <w:tcPr>
            <w:tcW w:w="1418" w:type="dxa"/>
            <w:shd w:val="clear" w:color="auto" w:fill="auto"/>
            <w:tcMar>
              <w:top w:w="113" w:type="dxa"/>
              <w:left w:w="28" w:type="dxa"/>
              <w:bottom w:w="113" w:type="dxa"/>
              <w:right w:w="28" w:type="dxa"/>
            </w:tcMar>
          </w:tcPr>
          <w:p w14:paraId="2D8F4940" w14:textId="77777777" w:rsidR="004A7EDA" w:rsidRPr="004A7EDA" w:rsidRDefault="004A7EDA" w:rsidP="00286AE3">
            <w:pPr>
              <w:pStyle w:val="TableCopy"/>
              <w:rPr>
                <w:lang w:val="en-GB"/>
              </w:rPr>
            </w:pPr>
            <w:r w:rsidRPr="004A7EDA">
              <w:rPr>
                <w:lang w:val="en-GB"/>
              </w:rPr>
              <w:t>8.9%</w:t>
            </w:r>
          </w:p>
        </w:tc>
        <w:tc>
          <w:tcPr>
            <w:tcW w:w="850" w:type="dxa"/>
            <w:shd w:val="clear" w:color="auto" w:fill="auto"/>
            <w:tcMar>
              <w:top w:w="113" w:type="dxa"/>
              <w:left w:w="28" w:type="dxa"/>
              <w:bottom w:w="113" w:type="dxa"/>
              <w:right w:w="28" w:type="dxa"/>
            </w:tcMar>
          </w:tcPr>
          <w:p w14:paraId="6CF9DE42" w14:textId="6F20A7EC" w:rsidR="004A7EDA" w:rsidRPr="004A7EDA" w:rsidRDefault="008E286C" w:rsidP="00286AE3">
            <w:pPr>
              <w:pStyle w:val="TableCopy"/>
              <w:rPr>
                <w:lang w:val="en-GB"/>
              </w:rPr>
            </w:pPr>
            <w:r>
              <w:rPr>
                <w:lang w:val="en-GB"/>
              </w:rPr>
              <w:t>*</w:t>
            </w:r>
          </w:p>
        </w:tc>
      </w:tr>
      <w:tr w:rsidR="004A7EDA" w:rsidRPr="004A7EDA" w14:paraId="0F7A6193" w14:textId="77777777" w:rsidTr="007370D8">
        <w:trPr>
          <w:trHeight w:val="113"/>
        </w:trPr>
        <w:tc>
          <w:tcPr>
            <w:tcW w:w="9638" w:type="dxa"/>
            <w:gridSpan w:val="6"/>
            <w:shd w:val="clear" w:color="auto" w:fill="auto"/>
            <w:tcMar>
              <w:top w:w="113" w:type="dxa"/>
              <w:left w:w="113" w:type="dxa"/>
              <w:bottom w:w="113" w:type="dxa"/>
              <w:right w:w="113" w:type="dxa"/>
            </w:tcMar>
          </w:tcPr>
          <w:p w14:paraId="037736B5" w14:textId="77777777" w:rsidR="004A7EDA" w:rsidRPr="004A7EDA" w:rsidRDefault="004A7EDA" w:rsidP="00286AE3">
            <w:pPr>
              <w:pStyle w:val="TableCopy"/>
            </w:pPr>
            <w:r w:rsidRPr="004A7EDA">
              <w:t xml:space="preserve">Higher result due to the implementation of a streamlined approach to the grants administration process. This coupled with a strong presence on the ground in its regional offices and the associated availability of its </w:t>
            </w:r>
            <w:proofErr w:type="gramStart"/>
            <w:r w:rsidRPr="004A7EDA">
              <w:t>high quality</w:t>
            </w:r>
            <w:proofErr w:type="gramEnd"/>
            <w:r w:rsidRPr="004A7EDA">
              <w:t xml:space="preserve"> advice and support services has produced a positive outcome.</w:t>
            </w:r>
          </w:p>
        </w:tc>
      </w:tr>
      <w:tr w:rsidR="004A7EDA" w:rsidRPr="004A7EDA" w14:paraId="7D18900C" w14:textId="77777777" w:rsidTr="007370D8">
        <w:trPr>
          <w:trHeight w:val="113"/>
        </w:trPr>
        <w:tc>
          <w:tcPr>
            <w:tcW w:w="9638" w:type="dxa"/>
            <w:gridSpan w:val="6"/>
            <w:shd w:val="clear" w:color="auto" w:fill="auto"/>
            <w:tcMar>
              <w:top w:w="113" w:type="dxa"/>
              <w:left w:w="28" w:type="dxa"/>
              <w:bottom w:w="113" w:type="dxa"/>
              <w:right w:w="28" w:type="dxa"/>
            </w:tcMar>
          </w:tcPr>
          <w:p w14:paraId="64FDF122" w14:textId="77777777" w:rsidR="004A7EDA" w:rsidRPr="004A7EDA" w:rsidRDefault="004A7EDA" w:rsidP="00286AE3">
            <w:pPr>
              <w:pStyle w:val="TableCopy"/>
              <w:rPr>
                <w:lang w:val="en-GB"/>
              </w:rPr>
            </w:pPr>
            <w:r w:rsidRPr="004A7EDA">
              <w:rPr>
                <w:lang w:val="en-GB"/>
              </w:rPr>
              <w:t>Cost</w:t>
            </w:r>
          </w:p>
        </w:tc>
      </w:tr>
      <w:tr w:rsidR="004A7EDA" w:rsidRPr="004A7EDA" w14:paraId="4D2943CA" w14:textId="77777777" w:rsidTr="007370D8">
        <w:trPr>
          <w:trHeight w:val="113"/>
        </w:trPr>
        <w:tc>
          <w:tcPr>
            <w:tcW w:w="4252" w:type="dxa"/>
            <w:shd w:val="clear" w:color="auto" w:fill="auto"/>
            <w:tcMar>
              <w:top w:w="113" w:type="dxa"/>
              <w:left w:w="28" w:type="dxa"/>
              <w:bottom w:w="113" w:type="dxa"/>
              <w:right w:w="28" w:type="dxa"/>
            </w:tcMar>
          </w:tcPr>
          <w:p w14:paraId="325B0F60" w14:textId="77777777" w:rsidR="004A7EDA" w:rsidRPr="004A7EDA" w:rsidRDefault="004A7EDA" w:rsidP="00286AE3">
            <w:pPr>
              <w:pStyle w:val="TableCopy"/>
              <w:rPr>
                <w:lang w:val="en-GB"/>
              </w:rPr>
            </w:pPr>
            <w:r w:rsidRPr="004A7EDA">
              <w:rPr>
                <w:lang w:val="en-GB"/>
              </w:rPr>
              <w:t>Total output cost</w:t>
            </w:r>
          </w:p>
        </w:tc>
        <w:tc>
          <w:tcPr>
            <w:tcW w:w="1134" w:type="dxa"/>
            <w:shd w:val="clear" w:color="auto" w:fill="auto"/>
            <w:tcMar>
              <w:top w:w="113" w:type="dxa"/>
              <w:left w:w="28" w:type="dxa"/>
              <w:bottom w:w="113" w:type="dxa"/>
              <w:right w:w="28" w:type="dxa"/>
            </w:tcMar>
          </w:tcPr>
          <w:p w14:paraId="6A69A8D1" w14:textId="77777777" w:rsidR="004A7EDA" w:rsidRPr="004A7EDA" w:rsidRDefault="004A7EDA" w:rsidP="00286AE3">
            <w:pPr>
              <w:pStyle w:val="TableCopy"/>
              <w:rPr>
                <w:lang w:val="en-GB"/>
              </w:rPr>
            </w:pPr>
            <w:r w:rsidRPr="004A7EDA">
              <w:rPr>
                <w:lang w:val="en-GB"/>
              </w:rPr>
              <w:t>$ million</w:t>
            </w:r>
          </w:p>
        </w:tc>
        <w:tc>
          <w:tcPr>
            <w:tcW w:w="998" w:type="dxa"/>
            <w:shd w:val="clear" w:color="auto" w:fill="auto"/>
            <w:tcMar>
              <w:top w:w="113" w:type="dxa"/>
              <w:left w:w="28" w:type="dxa"/>
              <w:bottom w:w="113" w:type="dxa"/>
              <w:right w:w="28" w:type="dxa"/>
            </w:tcMar>
          </w:tcPr>
          <w:p w14:paraId="727E5D0C" w14:textId="77777777" w:rsidR="004A7EDA" w:rsidRPr="004A7EDA" w:rsidRDefault="004A7EDA" w:rsidP="00286AE3">
            <w:pPr>
              <w:pStyle w:val="TableCopy"/>
              <w:rPr>
                <w:lang w:val="en-GB"/>
              </w:rPr>
            </w:pPr>
            <w:r w:rsidRPr="004A7EDA">
              <w:rPr>
                <w:lang w:val="en-GB"/>
              </w:rPr>
              <w:t>541.9</w:t>
            </w:r>
          </w:p>
        </w:tc>
        <w:tc>
          <w:tcPr>
            <w:tcW w:w="986" w:type="dxa"/>
            <w:shd w:val="clear" w:color="auto" w:fill="auto"/>
            <w:tcMar>
              <w:top w:w="113" w:type="dxa"/>
              <w:left w:w="28" w:type="dxa"/>
              <w:bottom w:w="113" w:type="dxa"/>
              <w:right w:w="28" w:type="dxa"/>
            </w:tcMar>
          </w:tcPr>
          <w:p w14:paraId="74C4909D" w14:textId="77777777" w:rsidR="004A7EDA" w:rsidRPr="004A7EDA" w:rsidRDefault="004A7EDA" w:rsidP="00286AE3">
            <w:pPr>
              <w:pStyle w:val="TableCopy"/>
              <w:rPr>
                <w:lang w:val="en-GB"/>
              </w:rPr>
            </w:pPr>
            <w:r w:rsidRPr="004A7EDA">
              <w:rPr>
                <w:lang w:val="en-GB"/>
              </w:rPr>
              <w:t>539.9</w:t>
            </w:r>
          </w:p>
        </w:tc>
        <w:tc>
          <w:tcPr>
            <w:tcW w:w="1418" w:type="dxa"/>
            <w:shd w:val="clear" w:color="auto" w:fill="auto"/>
            <w:tcMar>
              <w:top w:w="113" w:type="dxa"/>
              <w:left w:w="28" w:type="dxa"/>
              <w:bottom w:w="113" w:type="dxa"/>
              <w:right w:w="28" w:type="dxa"/>
            </w:tcMar>
          </w:tcPr>
          <w:p w14:paraId="33ECCF99" w14:textId="77777777" w:rsidR="004A7EDA" w:rsidRPr="004A7EDA" w:rsidRDefault="004A7EDA" w:rsidP="00286AE3">
            <w:pPr>
              <w:pStyle w:val="TableCopy"/>
              <w:rPr>
                <w:lang w:val="en-GB"/>
              </w:rPr>
            </w:pPr>
            <w:r w:rsidRPr="004A7EDA">
              <w:rPr>
                <w:lang w:val="en-GB"/>
              </w:rPr>
              <w:t>0.4%</w:t>
            </w:r>
          </w:p>
        </w:tc>
        <w:tc>
          <w:tcPr>
            <w:tcW w:w="850" w:type="dxa"/>
            <w:shd w:val="clear" w:color="auto" w:fill="auto"/>
            <w:tcMar>
              <w:top w:w="113" w:type="dxa"/>
              <w:left w:w="28" w:type="dxa"/>
              <w:bottom w:w="113" w:type="dxa"/>
              <w:right w:w="28" w:type="dxa"/>
            </w:tcMar>
          </w:tcPr>
          <w:p w14:paraId="1EE4DE1A" w14:textId="1D313FF0" w:rsidR="004A7EDA" w:rsidRPr="004A7EDA" w:rsidRDefault="008E286C" w:rsidP="00286AE3">
            <w:pPr>
              <w:pStyle w:val="TableCopy"/>
              <w:rPr>
                <w:lang w:val="en-GB"/>
              </w:rPr>
            </w:pPr>
            <w:r>
              <w:rPr>
                <w:lang w:val="en-GB"/>
              </w:rPr>
              <w:t>–</w:t>
            </w:r>
          </w:p>
        </w:tc>
      </w:tr>
    </w:tbl>
    <w:p w14:paraId="54083363" w14:textId="4C43BD92" w:rsidR="004A7EDA" w:rsidRPr="004A7EDA" w:rsidRDefault="00286AE3" w:rsidP="004A7EDA">
      <w:pPr>
        <w:rPr>
          <w:lang w:val="en-GB"/>
        </w:rPr>
      </w:pPr>
      <w:r w:rsidRPr="004A7EDA">
        <w:t>Note:</w:t>
      </w:r>
      <w:r w:rsidRPr="004A7EDA">
        <w:t> </w:t>
      </w:r>
      <w:r w:rsidRPr="004A7EDA">
        <w:br/>
      </w:r>
      <w:r>
        <w:t>*</w:t>
      </w:r>
      <w:r w:rsidRPr="004A7EDA">
        <w:t xml:space="preserve"> Performance target achieved or exceeded</w:t>
      </w:r>
      <w:r w:rsidRPr="004A7EDA">
        <w:br/>
      </w:r>
      <w:r>
        <w:t>–</w:t>
      </w:r>
      <w:r w:rsidRPr="004A7EDA">
        <w:t xml:space="preserve"> Performance target not achieved – within 5 per cent variance</w:t>
      </w:r>
      <w:r w:rsidRPr="004A7EDA">
        <w:br/>
      </w:r>
      <w:r>
        <w:t>#</w:t>
      </w:r>
      <w:r w:rsidRPr="004A7EDA">
        <w:t xml:space="preserve"> Performance target not achieved – exceeds 5 per cent variance</w:t>
      </w:r>
    </w:p>
    <w:p w14:paraId="59A8506E" w14:textId="77777777" w:rsidR="004A7EDA" w:rsidRPr="004A7EDA" w:rsidRDefault="004A7EDA" w:rsidP="00F55645">
      <w:pPr>
        <w:pStyle w:val="Heading1"/>
        <w:rPr>
          <w:lang w:val="en-GB"/>
        </w:rPr>
      </w:pPr>
      <w:bookmarkStart w:id="15" w:name="_Toc87011076"/>
      <w:r w:rsidRPr="004A7EDA">
        <w:rPr>
          <w:lang w:val="en-GB"/>
        </w:rPr>
        <w:t xml:space="preserve">Objective 5: Grow vibrant, </w:t>
      </w:r>
      <w:proofErr w:type="gramStart"/>
      <w:r w:rsidRPr="004A7EDA">
        <w:rPr>
          <w:lang w:val="en-GB"/>
        </w:rPr>
        <w:t>active</w:t>
      </w:r>
      <w:proofErr w:type="gramEnd"/>
      <w:r w:rsidRPr="004A7EDA">
        <w:rPr>
          <w:lang w:val="en-GB"/>
        </w:rPr>
        <w:t xml:space="preserve"> and creative communities</w:t>
      </w:r>
      <w:bookmarkEnd w:id="15"/>
    </w:p>
    <w:p w14:paraId="2721213A" w14:textId="104B52FF" w:rsidR="004A7EDA" w:rsidRPr="004A7EDA" w:rsidRDefault="004A7EDA" w:rsidP="004A7EDA">
      <w:pPr>
        <w:rPr>
          <w:lang w:val="en-GB"/>
        </w:rPr>
      </w:pPr>
      <w:r w:rsidRPr="004A7EDA">
        <w:rPr>
          <w:lang w:val="en-GB"/>
        </w:rPr>
        <w:t xml:space="preserve">This objective seeks to increase the economic, </w:t>
      </w:r>
      <w:proofErr w:type="gramStart"/>
      <w:r w:rsidRPr="004A7EDA">
        <w:rPr>
          <w:lang w:val="en-GB"/>
        </w:rPr>
        <w:t>social</w:t>
      </w:r>
      <w:proofErr w:type="gramEnd"/>
      <w:r w:rsidRPr="004A7EDA">
        <w:rPr>
          <w:lang w:val="en-GB"/>
        </w:rPr>
        <w:t xml:space="preserve"> and cultural value of the creative, sport and recreation industries to Victoria, grow the number and yield of visitors, position Victoria as a major events destination, and ensure the best cultural and sporting experiences are accessible to everyone.</w:t>
      </w:r>
    </w:p>
    <w:p w14:paraId="3D0462F8" w14:textId="0C7998E9" w:rsidR="004A7EDA" w:rsidRPr="004A7EDA" w:rsidRDefault="004A7EDA" w:rsidP="00261DB0">
      <w:pPr>
        <w:pStyle w:val="Heading3"/>
        <w:rPr>
          <w:lang w:val="en-GB"/>
        </w:rPr>
      </w:pPr>
      <w:bookmarkStart w:id="16" w:name="_Toc87011077"/>
      <w:r w:rsidRPr="004A7EDA">
        <w:rPr>
          <w:lang w:val="en-GB"/>
        </w:rPr>
        <w:t>Progress towards achieving</w:t>
      </w:r>
      <w:r w:rsidR="00261DB0">
        <w:rPr>
          <w:lang w:val="en-GB"/>
        </w:rPr>
        <w:t xml:space="preserve"> </w:t>
      </w:r>
      <w:r w:rsidRPr="004A7EDA">
        <w:rPr>
          <w:lang w:val="en-GB"/>
        </w:rPr>
        <w:t>this objective</w:t>
      </w:r>
      <w:bookmarkEnd w:id="16"/>
    </w:p>
    <w:p w14:paraId="6C55A712" w14:textId="77777777" w:rsidR="004A7EDA" w:rsidRPr="004A7EDA" w:rsidRDefault="004A7EDA" w:rsidP="004A7EDA">
      <w:pPr>
        <w:rPr>
          <w:lang w:val="en-GB"/>
        </w:rPr>
      </w:pPr>
      <w:r w:rsidRPr="004A7EDA">
        <w:rPr>
          <w:lang w:val="en-GB"/>
        </w:rPr>
        <w:t>In 2020–21, the department reported progress against this objective using the following objective indicators and outputs:</w:t>
      </w:r>
    </w:p>
    <w:p w14:paraId="2CF75BB8" w14:textId="77777777" w:rsidR="004A7EDA" w:rsidRPr="004A7EDA" w:rsidRDefault="004A7EDA" w:rsidP="00261DB0">
      <w:pPr>
        <w:pStyle w:val="Heading4"/>
        <w:rPr>
          <w:lang w:val="en-GB"/>
        </w:rPr>
      </w:pPr>
      <w:r w:rsidRPr="004A7EDA">
        <w:rPr>
          <w:lang w:val="en-GB"/>
        </w:rPr>
        <w:t>Objective Indicators</w:t>
      </w:r>
    </w:p>
    <w:p w14:paraId="28867730" w14:textId="0534986E" w:rsidR="004A7EDA" w:rsidRPr="004A7EDA" w:rsidRDefault="004A7EDA" w:rsidP="00261DB0">
      <w:pPr>
        <w:pStyle w:val="Bullet"/>
        <w:rPr>
          <w:lang w:val="en-GB"/>
        </w:rPr>
      </w:pPr>
      <w:r w:rsidRPr="004A7EDA">
        <w:rPr>
          <w:lang w:val="en-GB"/>
        </w:rPr>
        <w:t>Attendances at Creative Industries agencies</w:t>
      </w:r>
      <w:r w:rsidR="00261DB0">
        <w:rPr>
          <w:lang w:val="en-GB"/>
        </w:rPr>
        <w:t xml:space="preserve"> </w:t>
      </w:r>
      <w:r w:rsidRPr="004A7EDA">
        <w:rPr>
          <w:lang w:val="en-GB"/>
        </w:rPr>
        <w:t>and funded Major Performing Arts organisations</w:t>
      </w:r>
    </w:p>
    <w:p w14:paraId="49974201" w14:textId="77777777" w:rsidR="004A7EDA" w:rsidRPr="004A7EDA" w:rsidRDefault="004A7EDA" w:rsidP="00261DB0">
      <w:pPr>
        <w:pStyle w:val="Bullet"/>
        <w:rPr>
          <w:lang w:val="en-GB"/>
        </w:rPr>
      </w:pPr>
      <w:r w:rsidRPr="004A7EDA">
        <w:rPr>
          <w:lang w:val="en-GB"/>
        </w:rPr>
        <w:t>Employment in the Creative Industries sector</w:t>
      </w:r>
    </w:p>
    <w:p w14:paraId="4ACC0AD6" w14:textId="77777777" w:rsidR="004A7EDA" w:rsidRPr="004A7EDA" w:rsidRDefault="004A7EDA" w:rsidP="00261DB0">
      <w:pPr>
        <w:pStyle w:val="Bullet"/>
        <w:rPr>
          <w:lang w:val="en-GB"/>
        </w:rPr>
      </w:pPr>
      <w:r w:rsidRPr="004A7EDA">
        <w:rPr>
          <w:lang w:val="en-GB"/>
        </w:rPr>
        <w:t>Employment in the Visitor Economy sector</w:t>
      </w:r>
    </w:p>
    <w:p w14:paraId="10C891DB" w14:textId="77777777" w:rsidR="004A7EDA" w:rsidRPr="004A7EDA" w:rsidRDefault="004A7EDA" w:rsidP="00261DB0">
      <w:pPr>
        <w:pStyle w:val="Bullet"/>
        <w:rPr>
          <w:lang w:val="en-GB"/>
        </w:rPr>
      </w:pPr>
      <w:r w:rsidRPr="004A7EDA">
        <w:rPr>
          <w:lang w:val="en-GB"/>
        </w:rPr>
        <w:t>Tourists attracted to Victoria</w:t>
      </w:r>
    </w:p>
    <w:p w14:paraId="7990376D" w14:textId="1B912CBC" w:rsidR="004A7EDA" w:rsidRPr="004A7EDA" w:rsidRDefault="004A7EDA" w:rsidP="00261DB0">
      <w:pPr>
        <w:pStyle w:val="Bullet"/>
        <w:rPr>
          <w:lang w:val="en-GB"/>
        </w:rPr>
      </w:pPr>
      <w:r w:rsidRPr="004A7EDA">
        <w:rPr>
          <w:lang w:val="en-GB"/>
        </w:rPr>
        <w:t>Increase rates of community engagement, including through participation in sport</w:t>
      </w:r>
      <w:r w:rsidR="00261DB0">
        <w:rPr>
          <w:lang w:val="en-GB"/>
        </w:rPr>
        <w:t xml:space="preserve"> </w:t>
      </w:r>
      <w:r w:rsidRPr="004A7EDA">
        <w:rPr>
          <w:lang w:val="en-GB"/>
        </w:rPr>
        <w:t>and recreation</w:t>
      </w:r>
    </w:p>
    <w:p w14:paraId="2CAB4BA2" w14:textId="3138E53B" w:rsidR="004A7EDA" w:rsidRPr="004A7EDA" w:rsidRDefault="004A7EDA" w:rsidP="00261DB0">
      <w:pPr>
        <w:pStyle w:val="Bullet"/>
        <w:rPr>
          <w:lang w:val="en-GB"/>
        </w:rPr>
      </w:pPr>
      <w:r w:rsidRPr="004A7EDA">
        <w:rPr>
          <w:lang w:val="en-GB"/>
        </w:rPr>
        <w:t>Wagering turnover on Victorian racing</w:t>
      </w:r>
      <w:r w:rsidR="00261DB0">
        <w:rPr>
          <w:lang w:val="en-GB"/>
        </w:rPr>
        <w:t xml:space="preserve"> </w:t>
      </w:r>
      <w:r w:rsidRPr="004A7EDA">
        <w:rPr>
          <w:lang w:val="en-GB"/>
        </w:rPr>
        <w:t>as a proportion of the national market.</w:t>
      </w:r>
    </w:p>
    <w:p w14:paraId="42814338" w14:textId="77777777" w:rsidR="004A7EDA" w:rsidRPr="004A7EDA" w:rsidRDefault="004A7EDA" w:rsidP="00261DB0">
      <w:pPr>
        <w:pStyle w:val="Heading4"/>
        <w:rPr>
          <w:lang w:val="en-GB"/>
        </w:rPr>
      </w:pPr>
      <w:r w:rsidRPr="00261DB0">
        <w:t>Outputs</w:t>
      </w:r>
    </w:p>
    <w:p w14:paraId="73FC8C1D" w14:textId="2B351207" w:rsidR="004A7EDA" w:rsidRPr="004A7EDA" w:rsidRDefault="004A7EDA" w:rsidP="00261DB0">
      <w:pPr>
        <w:pStyle w:val="Bullet"/>
        <w:rPr>
          <w:lang w:val="en-GB"/>
        </w:rPr>
      </w:pPr>
      <w:r w:rsidRPr="004A7EDA">
        <w:rPr>
          <w:lang w:val="en-GB"/>
        </w:rPr>
        <w:t xml:space="preserve">Creative Industries Access, </w:t>
      </w:r>
      <w:proofErr w:type="gramStart"/>
      <w:r w:rsidRPr="004A7EDA">
        <w:rPr>
          <w:lang w:val="en-GB"/>
        </w:rPr>
        <w:t>Development</w:t>
      </w:r>
      <w:proofErr w:type="gramEnd"/>
      <w:r w:rsidR="00261DB0">
        <w:rPr>
          <w:lang w:val="en-GB"/>
        </w:rPr>
        <w:t xml:space="preserve"> </w:t>
      </w:r>
      <w:r w:rsidRPr="004A7EDA">
        <w:rPr>
          <w:lang w:val="en-GB"/>
        </w:rPr>
        <w:t>and Innovation</w:t>
      </w:r>
    </w:p>
    <w:p w14:paraId="3A982D65" w14:textId="77777777" w:rsidR="004A7EDA" w:rsidRPr="004A7EDA" w:rsidRDefault="004A7EDA" w:rsidP="00261DB0">
      <w:pPr>
        <w:pStyle w:val="Bullet"/>
        <w:rPr>
          <w:lang w:val="en-GB"/>
        </w:rPr>
      </w:pPr>
      <w:r w:rsidRPr="004A7EDA">
        <w:rPr>
          <w:lang w:val="en-GB"/>
        </w:rPr>
        <w:t>Creative Industries Portfolio Agencies</w:t>
      </w:r>
    </w:p>
    <w:p w14:paraId="7B125514" w14:textId="77777777" w:rsidR="004A7EDA" w:rsidRPr="004A7EDA" w:rsidRDefault="004A7EDA" w:rsidP="00261DB0">
      <w:pPr>
        <w:pStyle w:val="Bullet"/>
        <w:rPr>
          <w:lang w:val="en-GB"/>
        </w:rPr>
      </w:pPr>
      <w:r w:rsidRPr="004A7EDA">
        <w:rPr>
          <w:lang w:val="en-GB"/>
        </w:rPr>
        <w:lastRenderedPageBreak/>
        <w:t>Cultural Infrastructure and Facilities</w:t>
      </w:r>
    </w:p>
    <w:p w14:paraId="0956D4DC" w14:textId="77777777" w:rsidR="004A7EDA" w:rsidRPr="004A7EDA" w:rsidRDefault="004A7EDA" w:rsidP="00261DB0">
      <w:pPr>
        <w:pStyle w:val="Bullet"/>
        <w:rPr>
          <w:lang w:val="en-GB"/>
        </w:rPr>
      </w:pPr>
      <w:r w:rsidRPr="004A7EDA">
        <w:rPr>
          <w:lang w:val="en-GB"/>
        </w:rPr>
        <w:t>Sport, Recreation and Racing</w:t>
      </w:r>
    </w:p>
    <w:p w14:paraId="6330A14F" w14:textId="77777777" w:rsidR="004A7EDA" w:rsidRPr="004A7EDA" w:rsidRDefault="004A7EDA" w:rsidP="00261DB0">
      <w:pPr>
        <w:pStyle w:val="Bullet"/>
        <w:rPr>
          <w:lang w:val="en-GB"/>
        </w:rPr>
      </w:pPr>
      <w:r w:rsidRPr="004A7EDA">
        <w:rPr>
          <w:lang w:val="en-GB"/>
        </w:rPr>
        <w:t>Tourism and Major Events.</w:t>
      </w:r>
    </w:p>
    <w:p w14:paraId="07F0CE85" w14:textId="4DEFBD4F" w:rsidR="004A7EDA" w:rsidRPr="004A7EDA" w:rsidRDefault="004A7EDA" w:rsidP="00261DB0">
      <w:pPr>
        <w:pStyle w:val="Heading4"/>
        <w:rPr>
          <w:lang w:val="en-GB"/>
        </w:rPr>
      </w:pPr>
      <w:r w:rsidRPr="004A7EDA">
        <w:rPr>
          <w:lang w:val="en-GB"/>
        </w:rPr>
        <w:t>Indicator: Attendances at Creative Industries agencies and funded</w:t>
      </w:r>
      <w:r w:rsidR="00261DB0">
        <w:rPr>
          <w:lang w:val="en-GB"/>
        </w:rPr>
        <w:t xml:space="preserve"> </w:t>
      </w:r>
      <w:r w:rsidRPr="004A7EDA">
        <w:rPr>
          <w:lang w:val="en-GB"/>
        </w:rPr>
        <w:t>Major Performing Arts organisations</w:t>
      </w:r>
    </w:p>
    <w:p w14:paraId="3C2F7279" w14:textId="77777777" w:rsidR="004A7EDA" w:rsidRPr="004A7EDA" w:rsidRDefault="004A7EDA" w:rsidP="00261DB0">
      <w:pPr>
        <w:pStyle w:val="Heading5"/>
        <w:rPr>
          <w:lang w:val="en-GB"/>
        </w:rPr>
      </w:pPr>
      <w:r w:rsidRPr="004A7EDA">
        <w:rPr>
          <w:lang w:val="en-GB"/>
        </w:rPr>
        <w:t>Table 14: Attendances at Creative Industries agencies</w:t>
      </w:r>
    </w:p>
    <w:tbl>
      <w:tblPr>
        <w:tblW w:w="0" w:type="auto"/>
        <w:tblInd w:w="28" w:type="dxa"/>
        <w:tblLayout w:type="fixed"/>
        <w:tblCellMar>
          <w:left w:w="0" w:type="dxa"/>
          <w:right w:w="0" w:type="dxa"/>
        </w:tblCellMar>
        <w:tblLook w:val="0000" w:firstRow="0" w:lastRow="0" w:firstColumn="0" w:lastColumn="0" w:noHBand="0" w:noVBand="0"/>
      </w:tblPr>
      <w:tblGrid>
        <w:gridCol w:w="4252"/>
        <w:gridCol w:w="1346"/>
        <w:gridCol w:w="1347"/>
        <w:gridCol w:w="1346"/>
        <w:gridCol w:w="1347"/>
      </w:tblGrid>
      <w:tr w:rsidR="004A7EDA" w:rsidRPr="00286AE3" w14:paraId="39F43C7C" w14:textId="77777777">
        <w:trPr>
          <w:trHeight w:val="340"/>
        </w:trPr>
        <w:tc>
          <w:tcPr>
            <w:tcW w:w="425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347619B" w14:textId="77777777" w:rsidR="004A7EDA" w:rsidRPr="00286AE3" w:rsidRDefault="004A7EDA" w:rsidP="00286AE3">
            <w:pPr>
              <w:pStyle w:val="TableHeading"/>
            </w:pPr>
            <w:r w:rsidRPr="00286AE3">
              <w:t>Measure (unit of measure)</w:t>
            </w:r>
          </w:p>
        </w:tc>
        <w:tc>
          <w:tcPr>
            <w:tcW w:w="13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4781C06" w14:textId="77777777" w:rsidR="004A7EDA" w:rsidRPr="00286AE3" w:rsidRDefault="004A7EDA" w:rsidP="00286AE3">
            <w:pPr>
              <w:pStyle w:val="TableHeading"/>
            </w:pPr>
            <w:r w:rsidRPr="00286AE3">
              <w:t>2017–18</w:t>
            </w:r>
          </w:p>
        </w:tc>
        <w:tc>
          <w:tcPr>
            <w:tcW w:w="134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ED7EC2B" w14:textId="77777777" w:rsidR="004A7EDA" w:rsidRPr="00286AE3" w:rsidRDefault="004A7EDA" w:rsidP="00286AE3">
            <w:pPr>
              <w:pStyle w:val="TableHeading"/>
            </w:pPr>
            <w:r w:rsidRPr="00286AE3">
              <w:t>2018–19</w:t>
            </w:r>
          </w:p>
        </w:tc>
        <w:tc>
          <w:tcPr>
            <w:tcW w:w="13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C8C243B" w14:textId="77777777" w:rsidR="004A7EDA" w:rsidRPr="00286AE3" w:rsidRDefault="004A7EDA" w:rsidP="00286AE3">
            <w:pPr>
              <w:pStyle w:val="TableHeading"/>
            </w:pPr>
            <w:r w:rsidRPr="00286AE3">
              <w:t>2019–20</w:t>
            </w:r>
          </w:p>
        </w:tc>
        <w:tc>
          <w:tcPr>
            <w:tcW w:w="134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756D9F4" w14:textId="77777777" w:rsidR="004A7EDA" w:rsidRPr="00286AE3" w:rsidRDefault="004A7EDA" w:rsidP="00286AE3">
            <w:pPr>
              <w:pStyle w:val="TableHeading"/>
            </w:pPr>
            <w:r w:rsidRPr="00286AE3">
              <w:t>2020–21</w:t>
            </w:r>
          </w:p>
        </w:tc>
      </w:tr>
      <w:tr w:rsidR="004A7EDA" w:rsidRPr="00286AE3" w14:paraId="0BEA2515" w14:textId="77777777">
        <w:trPr>
          <w:trHeight w:val="340"/>
        </w:trPr>
        <w:tc>
          <w:tcPr>
            <w:tcW w:w="425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9C12887" w14:textId="71C4BE87" w:rsidR="004A7EDA" w:rsidRPr="00286AE3" w:rsidRDefault="004A7EDA" w:rsidP="00286AE3">
            <w:pPr>
              <w:pStyle w:val="TableCopy"/>
            </w:pPr>
            <w:r w:rsidRPr="00286AE3">
              <w:t>Attendances at creative industries portfolio agencies</w:t>
            </w:r>
            <w:r w:rsidR="007370D8" w:rsidRPr="00286AE3">
              <w:t xml:space="preserve"> </w:t>
            </w:r>
            <w:r w:rsidRPr="00286AE3">
              <w:t>(number (‘000))</w:t>
            </w:r>
          </w:p>
        </w:tc>
        <w:tc>
          <w:tcPr>
            <w:tcW w:w="13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23CA7D3" w14:textId="77777777" w:rsidR="004A7EDA" w:rsidRPr="00286AE3" w:rsidRDefault="004A7EDA" w:rsidP="00286AE3">
            <w:pPr>
              <w:pStyle w:val="TableCopy"/>
            </w:pPr>
            <w:r w:rsidRPr="00286AE3">
              <w:t>13,170</w:t>
            </w:r>
          </w:p>
        </w:tc>
        <w:tc>
          <w:tcPr>
            <w:tcW w:w="134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BFF08E4" w14:textId="77777777" w:rsidR="004A7EDA" w:rsidRPr="00286AE3" w:rsidRDefault="004A7EDA" w:rsidP="00286AE3">
            <w:pPr>
              <w:pStyle w:val="TableCopy"/>
            </w:pPr>
            <w:r w:rsidRPr="00286AE3">
              <w:t>12,786</w:t>
            </w:r>
          </w:p>
        </w:tc>
        <w:tc>
          <w:tcPr>
            <w:tcW w:w="13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204F85B" w14:textId="77777777" w:rsidR="004A7EDA" w:rsidRPr="00286AE3" w:rsidRDefault="004A7EDA" w:rsidP="00286AE3">
            <w:pPr>
              <w:pStyle w:val="TableCopy"/>
            </w:pPr>
            <w:r w:rsidRPr="00286AE3">
              <w:t>9,417</w:t>
            </w:r>
          </w:p>
        </w:tc>
        <w:tc>
          <w:tcPr>
            <w:tcW w:w="134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3B8999E" w14:textId="77777777" w:rsidR="004A7EDA" w:rsidRPr="00286AE3" w:rsidRDefault="004A7EDA" w:rsidP="00286AE3">
            <w:pPr>
              <w:pStyle w:val="TableCopy"/>
            </w:pPr>
            <w:r w:rsidRPr="00286AE3">
              <w:t>2,646</w:t>
            </w:r>
          </w:p>
        </w:tc>
      </w:tr>
    </w:tbl>
    <w:p w14:paraId="7B617D3D" w14:textId="42989162" w:rsidR="004A7EDA" w:rsidRPr="004A7EDA" w:rsidRDefault="004A7EDA" w:rsidP="00261DB0">
      <w:pPr>
        <w:pStyle w:val="Heading5"/>
        <w:rPr>
          <w:lang w:val="en-GB"/>
        </w:rPr>
      </w:pPr>
      <w:r w:rsidRPr="004A7EDA">
        <w:rPr>
          <w:lang w:val="en-GB"/>
        </w:rPr>
        <w:t>Figure 11: Attendances at Creative</w:t>
      </w:r>
      <w:r w:rsidR="00261DB0">
        <w:rPr>
          <w:lang w:val="en-GB"/>
        </w:rPr>
        <w:t xml:space="preserve"> </w:t>
      </w:r>
      <w:r w:rsidRPr="004A7EDA">
        <w:rPr>
          <w:lang w:val="en-GB"/>
        </w:rPr>
        <w:t>Industries agencies</w:t>
      </w:r>
    </w:p>
    <w:p w14:paraId="660E93CE" w14:textId="235480DE" w:rsidR="004A7EDA" w:rsidRPr="004A7EDA" w:rsidRDefault="00261DB0" w:rsidP="004A7EDA">
      <w:pPr>
        <w:rPr>
          <w:lang w:val="en-GB"/>
        </w:rPr>
      </w:pPr>
      <w:r>
        <w:rPr>
          <w:noProof/>
          <w:lang w:val="en-GB"/>
        </w:rPr>
        <w:drawing>
          <wp:inline distT="0" distB="0" distL="0" distR="0" wp14:anchorId="7BE0859C" wp14:editId="48479932">
            <wp:extent cx="2895600" cy="1926771"/>
            <wp:effectExtent l="0" t="0" r="0" b="0"/>
            <wp:docPr id="11" name="Picture 11" descr="Chart&#10;Attendances at Creative Industries agencies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Attendances at Creative Industries agencies 2017-2021"/>
                    <pic:cNvPicPr/>
                  </pic:nvPicPr>
                  <pic:blipFill rotWithShape="1">
                    <a:blip r:embed="rId22"/>
                    <a:srcRect b="22988"/>
                    <a:stretch/>
                  </pic:blipFill>
                  <pic:spPr bwMode="auto">
                    <a:xfrm>
                      <a:off x="0" y="0"/>
                      <a:ext cx="2895600" cy="1926771"/>
                    </a:xfrm>
                    <a:prstGeom prst="rect">
                      <a:avLst/>
                    </a:prstGeom>
                    <a:ln>
                      <a:noFill/>
                    </a:ln>
                    <a:extLst>
                      <a:ext uri="{53640926-AAD7-44D8-BBD7-CCE9431645EC}">
                        <a14:shadowObscured xmlns:a14="http://schemas.microsoft.com/office/drawing/2010/main"/>
                      </a:ext>
                    </a:extLst>
                  </pic:spPr>
                </pic:pic>
              </a:graphicData>
            </a:graphic>
          </wp:inline>
        </w:drawing>
      </w:r>
    </w:p>
    <w:p w14:paraId="58492F69" w14:textId="066EB33E" w:rsidR="004A7EDA" w:rsidRPr="004A7EDA" w:rsidRDefault="004A7EDA" w:rsidP="004A7EDA">
      <w:pPr>
        <w:rPr>
          <w:lang w:val="en-GB"/>
        </w:rPr>
      </w:pPr>
      <w:r w:rsidRPr="004A7EDA">
        <w:rPr>
          <w:lang w:val="en-GB"/>
        </w:rPr>
        <w:t>In 2020–21, Victoria’s state-owned arts and cultural</w:t>
      </w:r>
      <w:r w:rsidR="00CB3948">
        <w:rPr>
          <w:lang w:val="en-GB"/>
        </w:rPr>
        <w:t xml:space="preserve"> </w:t>
      </w:r>
      <w:r w:rsidRPr="004A7EDA">
        <w:rPr>
          <w:lang w:val="en-GB"/>
        </w:rPr>
        <w:t>institutions – Arts Centre Melbourne, Australian</w:t>
      </w:r>
      <w:r w:rsidR="00CB3948">
        <w:rPr>
          <w:lang w:val="en-GB"/>
        </w:rPr>
        <w:t xml:space="preserve"> </w:t>
      </w:r>
      <w:r w:rsidRPr="004A7EDA">
        <w:rPr>
          <w:lang w:val="en-GB"/>
        </w:rPr>
        <w:t>Centre for the Moving Image (ACMI), Geelong</w:t>
      </w:r>
      <w:r w:rsidR="00CB3948">
        <w:rPr>
          <w:lang w:val="en-GB"/>
        </w:rPr>
        <w:t xml:space="preserve"> </w:t>
      </w:r>
      <w:r w:rsidRPr="004A7EDA">
        <w:rPr>
          <w:lang w:val="en-GB"/>
        </w:rPr>
        <w:t>Arts Centre, Melbourne Recital Centre, Museums</w:t>
      </w:r>
      <w:r w:rsidR="00CB3948">
        <w:rPr>
          <w:lang w:val="en-GB"/>
        </w:rPr>
        <w:t xml:space="preserve"> </w:t>
      </w:r>
      <w:r w:rsidRPr="004A7EDA">
        <w:rPr>
          <w:lang w:val="en-GB"/>
        </w:rPr>
        <w:t>Victoria, National Gallery of Victoria (NGV), and</w:t>
      </w:r>
      <w:r w:rsidR="00CB3948">
        <w:rPr>
          <w:lang w:val="en-GB"/>
        </w:rPr>
        <w:t xml:space="preserve"> </w:t>
      </w:r>
      <w:r w:rsidRPr="004A7EDA">
        <w:rPr>
          <w:lang w:val="en-GB"/>
        </w:rPr>
        <w:t>State Library Victoria – were attended by 2.6 million</w:t>
      </w:r>
      <w:r w:rsidR="00CB3948">
        <w:rPr>
          <w:lang w:val="en-GB"/>
        </w:rPr>
        <w:t xml:space="preserve"> </w:t>
      </w:r>
      <w:r w:rsidRPr="004A7EDA">
        <w:rPr>
          <w:lang w:val="en-GB"/>
        </w:rPr>
        <w:t>visitors, a further reduction on record levels set</w:t>
      </w:r>
      <w:r w:rsidR="00CB3948">
        <w:rPr>
          <w:lang w:val="en-GB"/>
        </w:rPr>
        <w:t xml:space="preserve"> </w:t>
      </w:r>
      <w:r w:rsidRPr="004A7EDA">
        <w:rPr>
          <w:lang w:val="en-GB"/>
        </w:rPr>
        <w:t>prior to the pandemic. The decline in attendances</w:t>
      </w:r>
      <w:r w:rsidR="00CB3948">
        <w:rPr>
          <w:lang w:val="en-GB"/>
        </w:rPr>
        <w:t xml:space="preserve"> </w:t>
      </w:r>
      <w:r w:rsidRPr="004A7EDA">
        <w:rPr>
          <w:lang w:val="en-GB"/>
        </w:rPr>
        <w:t xml:space="preserve">occurred </w:t>
      </w:r>
      <w:proofErr w:type="gramStart"/>
      <w:r w:rsidRPr="004A7EDA">
        <w:rPr>
          <w:lang w:val="en-GB"/>
        </w:rPr>
        <w:t>as a result of</w:t>
      </w:r>
      <w:proofErr w:type="gramEnd"/>
      <w:r w:rsidRPr="004A7EDA">
        <w:rPr>
          <w:lang w:val="en-GB"/>
        </w:rPr>
        <w:t xml:space="preserve"> the COVID-19 related</w:t>
      </w:r>
      <w:r w:rsidR="00CB3948">
        <w:rPr>
          <w:lang w:val="en-GB"/>
        </w:rPr>
        <w:t xml:space="preserve"> </w:t>
      </w:r>
      <w:r w:rsidRPr="004A7EDA">
        <w:rPr>
          <w:lang w:val="en-GB"/>
        </w:rPr>
        <w:t>lockdowns and public health restrictions continuing through 2020–21.</w:t>
      </w:r>
    </w:p>
    <w:p w14:paraId="0AACA65D" w14:textId="77777777" w:rsidR="004A7EDA" w:rsidRPr="004A7EDA" w:rsidRDefault="004A7EDA" w:rsidP="004A7EDA">
      <w:pPr>
        <w:rPr>
          <w:lang w:val="en-GB"/>
        </w:rPr>
      </w:pPr>
      <w:r w:rsidRPr="004A7EDA">
        <w:rPr>
          <w:lang w:val="en-GB"/>
        </w:rPr>
        <w:t xml:space="preserve">Despite the significant impact of restrictions, these agencies kept Victorians engaged, </w:t>
      </w:r>
      <w:proofErr w:type="gramStart"/>
      <w:r w:rsidRPr="004A7EDA">
        <w:rPr>
          <w:lang w:val="en-GB"/>
        </w:rPr>
        <w:t>connected</w:t>
      </w:r>
      <w:proofErr w:type="gramEnd"/>
      <w:r w:rsidRPr="004A7EDA">
        <w:rPr>
          <w:lang w:val="en-GB"/>
        </w:rPr>
        <w:t xml:space="preserve"> and entertained through a range of on-site and online programs, including:</w:t>
      </w:r>
    </w:p>
    <w:p w14:paraId="1C8ACC90" w14:textId="053C0A22" w:rsidR="004A7EDA" w:rsidRPr="00D51604" w:rsidRDefault="004A7EDA" w:rsidP="00D51604">
      <w:pPr>
        <w:pStyle w:val="Bullet"/>
      </w:pPr>
      <w:r w:rsidRPr="004A7EDA">
        <w:rPr>
          <w:i/>
          <w:iCs/>
          <w:lang w:val="en-GB"/>
        </w:rPr>
        <w:t xml:space="preserve">Live at the </w:t>
      </w:r>
      <w:r w:rsidRPr="00D51604">
        <w:t xml:space="preserve">Bowl, produced by Arts Centre Melbourne at the open-air Sidney Myer Music Bowl featuring headline acts, symphonic masterpieces, </w:t>
      </w:r>
      <w:proofErr w:type="gramStart"/>
      <w:r w:rsidRPr="00D51604">
        <w:t>festivals</w:t>
      </w:r>
      <w:proofErr w:type="gramEnd"/>
      <w:r w:rsidRPr="00D51604">
        <w:t xml:space="preserve"> and other performances. This provided employment to 3250 Victorians on and off the stage and injected more than $27 million into the state economy</w:t>
      </w:r>
    </w:p>
    <w:p w14:paraId="13D6716E" w14:textId="77777777" w:rsidR="004A7EDA" w:rsidRPr="00D51604" w:rsidRDefault="004A7EDA" w:rsidP="00D51604">
      <w:pPr>
        <w:pStyle w:val="Bullet"/>
      </w:pPr>
      <w:r w:rsidRPr="00D51604">
        <w:t>NGV Triennial, a free entry contemporary art, design and architecture program featuring major new commissions by some of the world’s most accomplished artists and designers, while also providing a platform for local and emerging practitioners</w:t>
      </w:r>
    </w:p>
    <w:p w14:paraId="24CA3685" w14:textId="77777777" w:rsidR="004A7EDA" w:rsidRPr="00D51604" w:rsidRDefault="004A7EDA" w:rsidP="00D51604">
      <w:pPr>
        <w:pStyle w:val="Bullet"/>
      </w:pPr>
      <w:r w:rsidRPr="00D51604">
        <w:t>The reopening of ACMI following its major redevelopment project that showcases new innovations in moving image technology, and the opening in May 2021 of Disney: The Magic of Animation, an Australian exclusive exhibition of rare artworks and sketches from Walt Disney Animation Studios</w:t>
      </w:r>
    </w:p>
    <w:p w14:paraId="7C9A5093" w14:textId="7AE388D4" w:rsidR="004A7EDA" w:rsidRPr="00D51604" w:rsidRDefault="004A7EDA" w:rsidP="00D51604">
      <w:pPr>
        <w:pStyle w:val="Bullet"/>
      </w:pPr>
      <w:r w:rsidRPr="00D51604">
        <w:t>The Summer Sessions hosted by Geelong Arts Centre including performances and creative, educational activities outdoors under a big top</w:t>
      </w:r>
      <w:r w:rsidR="00CB3948" w:rsidRPr="00D51604">
        <w:t xml:space="preserve"> </w:t>
      </w:r>
      <w:r w:rsidRPr="00D51604">
        <w:t>to welcome live arts back to the region</w:t>
      </w:r>
    </w:p>
    <w:p w14:paraId="47120373" w14:textId="4858E668" w:rsidR="004A7EDA" w:rsidRPr="004A7EDA" w:rsidRDefault="004A7EDA" w:rsidP="00D51604">
      <w:pPr>
        <w:pStyle w:val="Bullet"/>
        <w:rPr>
          <w:lang w:val="en-GB"/>
        </w:rPr>
      </w:pPr>
      <w:r w:rsidRPr="00D51604">
        <w:t>Melbourne Museum</w:t>
      </w:r>
      <w:r w:rsidRPr="004A7EDA">
        <w:rPr>
          <w:i/>
          <w:iCs/>
          <w:lang w:val="en-GB"/>
        </w:rPr>
        <w:t xml:space="preserve"> Summer Sessions</w:t>
      </w:r>
      <w:r w:rsidRPr="004A7EDA">
        <w:rPr>
          <w:lang w:val="en-GB"/>
        </w:rPr>
        <w:t>, presented by Melbourne Museum and hosting over</w:t>
      </w:r>
      <w:r w:rsidR="00CB3948">
        <w:rPr>
          <w:lang w:val="en-GB"/>
        </w:rPr>
        <w:t xml:space="preserve"> </w:t>
      </w:r>
      <w:r w:rsidRPr="004A7EDA">
        <w:rPr>
          <w:lang w:val="en-GB"/>
        </w:rPr>
        <w:t>120 performers in a series of outdoor shows</w:t>
      </w:r>
      <w:r w:rsidR="00CB3948">
        <w:rPr>
          <w:lang w:val="en-GB"/>
        </w:rPr>
        <w:t xml:space="preserve"> </w:t>
      </w:r>
      <w:r w:rsidRPr="004A7EDA">
        <w:rPr>
          <w:lang w:val="en-GB"/>
        </w:rPr>
        <w:t xml:space="preserve">in the Melbourne Museum Plaza. </w:t>
      </w:r>
    </w:p>
    <w:p w14:paraId="4223FFBA" w14:textId="71E24D18" w:rsidR="004A7EDA" w:rsidRPr="004A7EDA" w:rsidRDefault="004A7EDA" w:rsidP="004A7EDA">
      <w:pPr>
        <w:rPr>
          <w:lang w:val="en-GB"/>
        </w:rPr>
      </w:pPr>
      <w:r w:rsidRPr="004A7EDA">
        <w:rPr>
          <w:lang w:val="en-GB"/>
        </w:rPr>
        <w:t>With doors closed to the public for a significant proportion of 2020–21, the arts and cultural institutions facilitated creative jobs and human connection through digital technology and online offerings including digital education, commissioned live streams and performance recordings, behind the scenes tours, and interviews with artists.</w:t>
      </w:r>
    </w:p>
    <w:p w14:paraId="7A1656DD" w14:textId="77777777" w:rsidR="004A7EDA" w:rsidRPr="004A7EDA" w:rsidRDefault="004A7EDA" w:rsidP="00CB3948">
      <w:pPr>
        <w:pStyle w:val="Heading5"/>
        <w:rPr>
          <w:lang w:val="en-GB"/>
        </w:rPr>
      </w:pPr>
      <w:r w:rsidRPr="004A7EDA">
        <w:rPr>
          <w:lang w:val="en-GB"/>
        </w:rPr>
        <w:t>Table 15: Attendances at funded Major Performing Arts organisations</w:t>
      </w:r>
    </w:p>
    <w:tbl>
      <w:tblPr>
        <w:tblW w:w="0" w:type="auto"/>
        <w:tblInd w:w="28" w:type="dxa"/>
        <w:tblLayout w:type="fixed"/>
        <w:tblCellMar>
          <w:left w:w="0" w:type="dxa"/>
          <w:right w:w="0" w:type="dxa"/>
        </w:tblCellMar>
        <w:tblLook w:val="0000" w:firstRow="0" w:lastRow="0" w:firstColumn="0" w:lastColumn="0" w:noHBand="0" w:noVBand="0"/>
      </w:tblPr>
      <w:tblGrid>
        <w:gridCol w:w="5102"/>
        <w:gridCol w:w="1134"/>
        <w:gridCol w:w="1134"/>
        <w:gridCol w:w="1134"/>
        <w:gridCol w:w="1134"/>
      </w:tblGrid>
      <w:tr w:rsidR="004A7EDA" w:rsidRPr="004A7EDA" w14:paraId="5DA4D311" w14:textId="77777777">
        <w:trPr>
          <w:trHeight w:val="113"/>
        </w:trPr>
        <w:tc>
          <w:tcPr>
            <w:tcW w:w="510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60F4363" w14:textId="77777777" w:rsidR="004A7EDA" w:rsidRPr="004A7EDA" w:rsidRDefault="004A7EDA" w:rsidP="00286AE3">
            <w:pPr>
              <w:pStyle w:val="TableHeading"/>
              <w:rPr>
                <w:lang w:val="en-GB"/>
              </w:rPr>
            </w:pPr>
            <w:r w:rsidRPr="004A7EDA">
              <w:rPr>
                <w:lang w:val="en-GB"/>
              </w:rPr>
              <w:t>Measure (unit of measure)</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2990468" w14:textId="77777777" w:rsidR="004A7EDA" w:rsidRPr="004A7EDA" w:rsidRDefault="004A7EDA" w:rsidP="00286AE3">
            <w:pPr>
              <w:pStyle w:val="TableHeading"/>
              <w:rPr>
                <w:lang w:val="en-GB"/>
              </w:rPr>
            </w:pPr>
            <w:r w:rsidRPr="004A7EDA">
              <w:rPr>
                <w:lang w:val="en-GB"/>
              </w:rPr>
              <w:t>2017–18</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34AE2A5" w14:textId="77777777" w:rsidR="004A7EDA" w:rsidRPr="004A7EDA" w:rsidRDefault="004A7EDA" w:rsidP="00286AE3">
            <w:pPr>
              <w:pStyle w:val="TableHeading"/>
              <w:rPr>
                <w:lang w:val="en-GB"/>
              </w:rPr>
            </w:pPr>
            <w:r w:rsidRPr="004A7EDA">
              <w:rPr>
                <w:lang w:val="en-GB"/>
              </w:rPr>
              <w:t>2018–19</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AE5BE1D" w14:textId="77777777" w:rsidR="004A7EDA" w:rsidRPr="004A7EDA" w:rsidRDefault="004A7EDA" w:rsidP="00286AE3">
            <w:pPr>
              <w:pStyle w:val="TableHeading"/>
              <w:rPr>
                <w:lang w:val="en-GB"/>
              </w:rPr>
            </w:pPr>
            <w:r w:rsidRPr="004A7EDA">
              <w:rPr>
                <w:lang w:val="en-GB"/>
              </w:rPr>
              <w:t>2019–20</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ABB4722" w14:textId="77777777" w:rsidR="004A7EDA" w:rsidRPr="004A7EDA" w:rsidRDefault="004A7EDA" w:rsidP="00286AE3">
            <w:pPr>
              <w:pStyle w:val="TableHeading"/>
              <w:rPr>
                <w:lang w:val="en-GB"/>
              </w:rPr>
            </w:pPr>
            <w:r w:rsidRPr="004A7EDA">
              <w:rPr>
                <w:lang w:val="en-GB"/>
              </w:rPr>
              <w:t>2020–21</w:t>
            </w:r>
          </w:p>
        </w:tc>
      </w:tr>
      <w:tr w:rsidR="004A7EDA" w:rsidRPr="004A7EDA" w14:paraId="64C17F21" w14:textId="77777777">
        <w:trPr>
          <w:trHeight w:val="113"/>
        </w:trPr>
        <w:tc>
          <w:tcPr>
            <w:tcW w:w="510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7422CB6" w14:textId="77777777" w:rsidR="004A7EDA" w:rsidRPr="004A7EDA" w:rsidRDefault="004A7EDA" w:rsidP="00286AE3">
            <w:pPr>
              <w:pStyle w:val="TableCopy"/>
              <w:rPr>
                <w:lang w:val="en-GB"/>
              </w:rPr>
            </w:pPr>
            <w:r w:rsidRPr="004A7EDA">
              <w:rPr>
                <w:lang w:val="en-GB"/>
              </w:rPr>
              <w:lastRenderedPageBreak/>
              <w:t>Attendances at funded Major Performing Arts organisations (number (‘000))</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0BA0D6B" w14:textId="77777777" w:rsidR="004A7EDA" w:rsidRPr="004A7EDA" w:rsidRDefault="004A7EDA" w:rsidP="00286AE3">
            <w:pPr>
              <w:pStyle w:val="TableCopy"/>
              <w:rPr>
                <w:lang w:val="en-GB"/>
              </w:rPr>
            </w:pPr>
            <w:r w:rsidRPr="004A7EDA">
              <w:rPr>
                <w:lang w:val="en-GB"/>
              </w:rPr>
              <w:t>1,067</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CA1B0C3" w14:textId="77777777" w:rsidR="004A7EDA" w:rsidRPr="004A7EDA" w:rsidRDefault="004A7EDA" w:rsidP="00286AE3">
            <w:pPr>
              <w:pStyle w:val="TableCopy"/>
              <w:rPr>
                <w:lang w:val="en-GB"/>
              </w:rPr>
            </w:pPr>
            <w:r w:rsidRPr="004A7EDA">
              <w:rPr>
                <w:lang w:val="en-GB"/>
              </w:rPr>
              <w:t>1,127</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2072273" w14:textId="77777777" w:rsidR="004A7EDA" w:rsidRPr="004A7EDA" w:rsidRDefault="004A7EDA" w:rsidP="00286AE3">
            <w:pPr>
              <w:pStyle w:val="TableCopy"/>
              <w:rPr>
                <w:lang w:val="en-GB"/>
              </w:rPr>
            </w:pPr>
            <w:r w:rsidRPr="004A7EDA">
              <w:rPr>
                <w:lang w:val="en-GB"/>
              </w:rPr>
              <w:t>1,169</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6C1680D" w14:textId="77777777" w:rsidR="004A7EDA" w:rsidRPr="004A7EDA" w:rsidRDefault="004A7EDA" w:rsidP="00286AE3">
            <w:pPr>
              <w:pStyle w:val="TableCopy"/>
              <w:rPr>
                <w:lang w:val="en-GB"/>
              </w:rPr>
            </w:pPr>
            <w:r w:rsidRPr="004A7EDA">
              <w:rPr>
                <w:lang w:val="en-GB"/>
              </w:rPr>
              <w:t>287</w:t>
            </w:r>
          </w:p>
        </w:tc>
      </w:tr>
    </w:tbl>
    <w:p w14:paraId="51463535" w14:textId="6B488B15" w:rsidR="004A7EDA" w:rsidRPr="004A7EDA" w:rsidRDefault="004A7EDA" w:rsidP="00CB3948">
      <w:pPr>
        <w:pStyle w:val="Heading5"/>
        <w:rPr>
          <w:lang w:val="en-GB"/>
        </w:rPr>
      </w:pPr>
      <w:r w:rsidRPr="004A7EDA">
        <w:rPr>
          <w:lang w:val="en-GB"/>
        </w:rPr>
        <w:t>Figure 12: Attendances at funded Major</w:t>
      </w:r>
      <w:r w:rsidR="00CB3948">
        <w:rPr>
          <w:lang w:val="en-GB"/>
        </w:rPr>
        <w:t xml:space="preserve"> </w:t>
      </w:r>
      <w:r w:rsidRPr="004A7EDA">
        <w:rPr>
          <w:lang w:val="en-GB"/>
        </w:rPr>
        <w:t>Performing Arts organisations</w:t>
      </w:r>
    </w:p>
    <w:p w14:paraId="0D740880" w14:textId="52F469F5" w:rsidR="004A7EDA" w:rsidRPr="004A7EDA" w:rsidRDefault="00CB3948" w:rsidP="004A7EDA">
      <w:pPr>
        <w:rPr>
          <w:lang w:val="en-GB"/>
        </w:rPr>
      </w:pPr>
      <w:r>
        <w:rPr>
          <w:noProof/>
          <w:lang w:val="en-GB"/>
        </w:rPr>
        <w:drawing>
          <wp:inline distT="0" distB="0" distL="0" distR="0" wp14:anchorId="0591ADFB" wp14:editId="363CE5AB">
            <wp:extent cx="2895600" cy="1951264"/>
            <wp:effectExtent l="0" t="0" r="0" b="0"/>
            <wp:docPr id="12" name="Picture 12" descr="Chart&#10;&#10;Attendances at funded Major Performing Arts organisations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Attendances at funded Major Performing Arts organisations 2017-2021"/>
                    <pic:cNvPicPr/>
                  </pic:nvPicPr>
                  <pic:blipFill rotWithShape="1">
                    <a:blip r:embed="rId23"/>
                    <a:srcRect b="22009"/>
                    <a:stretch/>
                  </pic:blipFill>
                  <pic:spPr bwMode="auto">
                    <a:xfrm>
                      <a:off x="0" y="0"/>
                      <a:ext cx="2895600" cy="1951264"/>
                    </a:xfrm>
                    <a:prstGeom prst="rect">
                      <a:avLst/>
                    </a:prstGeom>
                    <a:ln>
                      <a:noFill/>
                    </a:ln>
                    <a:extLst>
                      <a:ext uri="{53640926-AAD7-44D8-BBD7-CCE9431645EC}">
                        <a14:shadowObscured xmlns:a14="http://schemas.microsoft.com/office/drawing/2010/main"/>
                      </a:ext>
                    </a:extLst>
                  </pic:spPr>
                </pic:pic>
              </a:graphicData>
            </a:graphic>
          </wp:inline>
        </w:drawing>
      </w:r>
    </w:p>
    <w:p w14:paraId="6393E8F7" w14:textId="77777777" w:rsidR="004A7EDA" w:rsidRPr="004A7EDA" w:rsidRDefault="004A7EDA" w:rsidP="004A7EDA">
      <w:pPr>
        <w:rPr>
          <w:lang w:val="en-GB"/>
        </w:rPr>
      </w:pPr>
      <w:r w:rsidRPr="004A7EDA">
        <w:rPr>
          <w:lang w:val="en-GB"/>
        </w:rPr>
        <w:t xml:space="preserve">Funded Major Performing Arts companies recorded significant reductions in audiences </w:t>
      </w:r>
      <w:proofErr w:type="gramStart"/>
      <w:r w:rsidRPr="004A7EDA">
        <w:rPr>
          <w:lang w:val="en-GB"/>
        </w:rPr>
        <w:t>as a result of</w:t>
      </w:r>
      <w:proofErr w:type="gramEnd"/>
      <w:r w:rsidRPr="004A7EDA">
        <w:rPr>
          <w:lang w:val="en-GB"/>
        </w:rPr>
        <w:t xml:space="preserve"> COVID-19 restrictions, with many performances cancelled or showing to vastly reduced audiences. The figures are for the calendar ending in that financial year, in line with companies’ programming, so 2020–21 is the first reporting year which reflects the impact of restrictions associated with COVID-19. </w:t>
      </w:r>
    </w:p>
    <w:p w14:paraId="3C5D2E56" w14:textId="77777777" w:rsidR="004A7EDA" w:rsidRPr="004A7EDA" w:rsidRDefault="004A7EDA" w:rsidP="004A7EDA">
      <w:pPr>
        <w:rPr>
          <w:lang w:val="en-GB"/>
        </w:rPr>
      </w:pPr>
      <w:r w:rsidRPr="004A7EDA">
        <w:rPr>
          <w:lang w:val="en-GB"/>
        </w:rPr>
        <w:t xml:space="preserve">More than $20 million was allocated to support more than 95 creative organisations across the state to sustain their operations through the pandemic, of which more than a third went to support Major Performing Arts companies. </w:t>
      </w:r>
    </w:p>
    <w:p w14:paraId="5DC77494" w14:textId="77777777" w:rsidR="004A7EDA" w:rsidRPr="004A7EDA" w:rsidRDefault="004A7EDA" w:rsidP="004A7EDA">
      <w:pPr>
        <w:rPr>
          <w:lang w:val="en-GB"/>
        </w:rPr>
      </w:pPr>
      <w:r w:rsidRPr="004A7EDA">
        <w:rPr>
          <w:lang w:val="en-GB"/>
        </w:rPr>
        <w:t xml:space="preserve">Victorian funded Major Performing Arts companies in 2020–21 </w:t>
      </w:r>
      <w:proofErr w:type="gramStart"/>
      <w:r w:rsidRPr="004A7EDA">
        <w:rPr>
          <w:lang w:val="en-GB"/>
        </w:rPr>
        <w:t>were</w:t>
      </w:r>
      <w:proofErr w:type="gramEnd"/>
      <w:r w:rsidRPr="004A7EDA">
        <w:rPr>
          <w:lang w:val="en-GB"/>
        </w:rPr>
        <w:t xml:space="preserve"> Melbourne Theatre Company, The Australian Ballet, Opera Australia, Orchestra Victoria, Melbourne Symphony Orchestra, Malthouse Theatre, Circus Oz and Victorian Opera.</w:t>
      </w:r>
    </w:p>
    <w:p w14:paraId="1A8FAF2E" w14:textId="77777777" w:rsidR="004A7EDA" w:rsidRPr="004A7EDA" w:rsidRDefault="004A7EDA" w:rsidP="00CB3948">
      <w:pPr>
        <w:pStyle w:val="Heading4"/>
        <w:rPr>
          <w:lang w:val="en-GB"/>
        </w:rPr>
      </w:pPr>
      <w:r w:rsidRPr="004A7EDA">
        <w:rPr>
          <w:lang w:val="en-GB"/>
        </w:rPr>
        <w:t>Indicator: Employment in the Creative Industries sector</w:t>
      </w:r>
    </w:p>
    <w:p w14:paraId="15402712" w14:textId="77777777" w:rsidR="004A7EDA" w:rsidRPr="00CB3948" w:rsidRDefault="004A7EDA" w:rsidP="00CB3948">
      <w:pPr>
        <w:pStyle w:val="Heading5"/>
      </w:pPr>
      <w:r w:rsidRPr="004A7EDA">
        <w:rPr>
          <w:lang w:val="en-GB"/>
        </w:rPr>
        <w:t>Table 16: Employment in the Creative Industries sector</w:t>
      </w:r>
    </w:p>
    <w:tbl>
      <w:tblPr>
        <w:tblW w:w="0" w:type="auto"/>
        <w:tblInd w:w="28" w:type="dxa"/>
        <w:tblLayout w:type="fixed"/>
        <w:tblCellMar>
          <w:left w:w="0" w:type="dxa"/>
          <w:right w:w="0" w:type="dxa"/>
        </w:tblCellMar>
        <w:tblLook w:val="0000" w:firstRow="0" w:lastRow="0" w:firstColumn="0" w:lastColumn="0" w:noHBand="0" w:noVBand="0"/>
      </w:tblPr>
      <w:tblGrid>
        <w:gridCol w:w="5102"/>
        <w:gridCol w:w="1134"/>
        <w:gridCol w:w="1134"/>
        <w:gridCol w:w="1134"/>
        <w:gridCol w:w="1134"/>
      </w:tblGrid>
      <w:tr w:rsidR="004A7EDA" w:rsidRPr="007370D8" w14:paraId="20A8F771" w14:textId="77777777">
        <w:trPr>
          <w:trHeight w:val="113"/>
        </w:trPr>
        <w:tc>
          <w:tcPr>
            <w:tcW w:w="510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9278939" w14:textId="77777777" w:rsidR="004A7EDA" w:rsidRPr="007370D8" w:rsidRDefault="004A7EDA" w:rsidP="00286AE3">
            <w:pPr>
              <w:pStyle w:val="TableHeading"/>
            </w:pPr>
            <w:r w:rsidRPr="007370D8">
              <w:t>Measure (unit of measure)</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CC82593" w14:textId="77777777" w:rsidR="004A7EDA" w:rsidRPr="007370D8" w:rsidRDefault="004A7EDA" w:rsidP="00286AE3">
            <w:pPr>
              <w:pStyle w:val="TableHeading"/>
            </w:pPr>
            <w:r w:rsidRPr="007370D8">
              <w:t>2017–18</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5565864" w14:textId="77777777" w:rsidR="004A7EDA" w:rsidRPr="007370D8" w:rsidRDefault="004A7EDA" w:rsidP="00286AE3">
            <w:pPr>
              <w:pStyle w:val="TableHeading"/>
            </w:pPr>
            <w:r w:rsidRPr="007370D8">
              <w:t>2018–19</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C899B97" w14:textId="77777777" w:rsidR="004A7EDA" w:rsidRPr="007370D8" w:rsidRDefault="004A7EDA" w:rsidP="00286AE3">
            <w:pPr>
              <w:pStyle w:val="TableHeading"/>
            </w:pPr>
            <w:r w:rsidRPr="007370D8">
              <w:t>2019–20</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622D097" w14:textId="77777777" w:rsidR="004A7EDA" w:rsidRPr="007370D8" w:rsidRDefault="004A7EDA" w:rsidP="00286AE3">
            <w:pPr>
              <w:pStyle w:val="TableHeading"/>
            </w:pPr>
            <w:r w:rsidRPr="007370D8">
              <w:t>2020–21</w:t>
            </w:r>
          </w:p>
        </w:tc>
      </w:tr>
      <w:tr w:rsidR="004A7EDA" w:rsidRPr="004A7EDA" w14:paraId="0BAACBF0" w14:textId="77777777">
        <w:trPr>
          <w:trHeight w:val="113"/>
        </w:trPr>
        <w:tc>
          <w:tcPr>
            <w:tcW w:w="510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D296193" w14:textId="77777777" w:rsidR="004A7EDA" w:rsidRPr="004A7EDA" w:rsidRDefault="004A7EDA" w:rsidP="00286AE3">
            <w:pPr>
              <w:pStyle w:val="TableCopy"/>
              <w:rPr>
                <w:lang w:val="en-GB"/>
              </w:rPr>
            </w:pPr>
            <w:r w:rsidRPr="004A7EDA">
              <w:rPr>
                <w:lang w:val="en-GB"/>
              </w:rPr>
              <w:t>Number of first jobs in the creative industries</w:t>
            </w:r>
            <w:r w:rsidRPr="004A7EDA">
              <w:rPr>
                <w:lang w:val="en-GB"/>
              </w:rPr>
              <w:br/>
              <w:t>(number)</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7910EBC" w14:textId="77777777" w:rsidR="004A7EDA" w:rsidRPr="004A7EDA" w:rsidRDefault="004A7EDA" w:rsidP="00286AE3">
            <w:pPr>
              <w:pStyle w:val="TableCopy"/>
              <w:rPr>
                <w:lang w:val="en-GB"/>
              </w:rPr>
            </w:pPr>
            <w:r w:rsidRPr="004A7EDA">
              <w:rPr>
                <w:lang w:val="en-GB"/>
              </w:rPr>
              <w:t>261,000</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2EEFCF7" w14:textId="77777777" w:rsidR="004A7EDA" w:rsidRPr="004A7EDA" w:rsidRDefault="004A7EDA" w:rsidP="00286AE3">
            <w:pPr>
              <w:pStyle w:val="TableCopy"/>
              <w:rPr>
                <w:lang w:val="en-GB"/>
              </w:rPr>
            </w:pPr>
            <w:r w:rsidRPr="004A7EDA">
              <w:rPr>
                <w:lang w:val="en-GB"/>
              </w:rPr>
              <w:t>289,000</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56B7231" w14:textId="77777777" w:rsidR="004A7EDA" w:rsidRPr="004A7EDA" w:rsidRDefault="004A7EDA" w:rsidP="00286AE3">
            <w:pPr>
              <w:pStyle w:val="TableCopy"/>
              <w:rPr>
                <w:lang w:val="en-GB"/>
              </w:rPr>
            </w:pPr>
            <w:r w:rsidRPr="004A7EDA">
              <w:rPr>
                <w:lang w:val="en-GB"/>
              </w:rPr>
              <w:t>292,000</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60868D8" w14:textId="77777777" w:rsidR="004A7EDA" w:rsidRPr="004A7EDA" w:rsidRDefault="004A7EDA" w:rsidP="00286AE3">
            <w:pPr>
              <w:pStyle w:val="TableCopy"/>
              <w:rPr>
                <w:lang w:val="en-GB"/>
              </w:rPr>
            </w:pPr>
            <w:r w:rsidRPr="004A7EDA">
              <w:rPr>
                <w:lang w:val="en-GB"/>
              </w:rPr>
              <w:t>305,000</w:t>
            </w:r>
          </w:p>
        </w:tc>
      </w:tr>
    </w:tbl>
    <w:p w14:paraId="69FFFC53" w14:textId="3C7041AB" w:rsidR="004A7EDA" w:rsidRPr="00F55645" w:rsidRDefault="004A7EDA" w:rsidP="00F55645">
      <w:pPr>
        <w:pStyle w:val="Heading5"/>
        <w:rPr>
          <w:lang w:val="en-GB"/>
        </w:rPr>
      </w:pPr>
      <w:r w:rsidRPr="004A7EDA">
        <w:rPr>
          <w:lang w:val="en-GB"/>
        </w:rPr>
        <w:t>Figure 13: Number of first jobs in the creative industries</w:t>
      </w:r>
    </w:p>
    <w:p w14:paraId="1C7FF769" w14:textId="2EBCDAE7" w:rsidR="004A7EDA" w:rsidRPr="004A7EDA" w:rsidRDefault="00CB3948" w:rsidP="004A7EDA">
      <w:pPr>
        <w:rPr>
          <w:lang w:val="en-GB"/>
        </w:rPr>
      </w:pPr>
      <w:r>
        <w:rPr>
          <w:noProof/>
          <w:lang w:val="en-GB"/>
        </w:rPr>
        <w:drawing>
          <wp:inline distT="0" distB="0" distL="0" distR="0" wp14:anchorId="1E26A6D6" wp14:editId="4A1A7C89">
            <wp:extent cx="2894330" cy="1769806"/>
            <wp:effectExtent l="0" t="0" r="0" b="0"/>
            <wp:docPr id="13" name="Picture 13" descr="Chart&#10;&#10;Number of first jobs in the creative industries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Number of first jobs in the creative industries 2017-2021"/>
                    <pic:cNvPicPr/>
                  </pic:nvPicPr>
                  <pic:blipFill rotWithShape="1">
                    <a:blip r:embed="rId24"/>
                    <a:srcRect t="3243" b="25988"/>
                    <a:stretch/>
                  </pic:blipFill>
                  <pic:spPr bwMode="auto">
                    <a:xfrm>
                      <a:off x="0" y="0"/>
                      <a:ext cx="2895600" cy="1770583"/>
                    </a:xfrm>
                    <a:prstGeom prst="rect">
                      <a:avLst/>
                    </a:prstGeom>
                    <a:ln>
                      <a:noFill/>
                    </a:ln>
                    <a:extLst>
                      <a:ext uri="{53640926-AAD7-44D8-BBD7-CCE9431645EC}">
                        <a14:shadowObscured xmlns:a14="http://schemas.microsoft.com/office/drawing/2010/main"/>
                      </a:ext>
                    </a:extLst>
                  </pic:spPr>
                </pic:pic>
              </a:graphicData>
            </a:graphic>
          </wp:inline>
        </w:drawing>
      </w:r>
    </w:p>
    <w:p w14:paraId="74434943" w14:textId="77777777" w:rsidR="004A7EDA" w:rsidRPr="004A7EDA" w:rsidRDefault="004A7EDA" w:rsidP="004A7EDA">
      <w:pPr>
        <w:rPr>
          <w:lang w:val="en-GB"/>
        </w:rPr>
      </w:pPr>
      <w:r w:rsidRPr="004A7EDA">
        <w:rPr>
          <w:lang w:val="en-GB"/>
        </w:rPr>
        <w:t>In 2020–21, 305,000 people were employed in the cultural and creative industries in Victoria, representing nine per cent of the total state workforce.</w:t>
      </w:r>
    </w:p>
    <w:p w14:paraId="545E928A" w14:textId="359C1544" w:rsidR="004A7EDA" w:rsidRPr="004A7EDA" w:rsidRDefault="004A7EDA" w:rsidP="004A7EDA">
      <w:pPr>
        <w:rPr>
          <w:lang w:val="en-GB"/>
        </w:rPr>
      </w:pPr>
      <w:r w:rsidRPr="004A7EDA">
        <w:rPr>
          <w:lang w:val="en-GB"/>
        </w:rPr>
        <w:t>The annual figure is the average of four quarterly results from the ABS Labour Force Survey. There is a 4.5 per cent increase in 2020–21 on last year’s figures (compared to a 1.0 per cent increase</w:t>
      </w:r>
      <w:r w:rsidR="00D51604">
        <w:rPr>
          <w:lang w:val="en-GB"/>
        </w:rPr>
        <w:t xml:space="preserve"> </w:t>
      </w:r>
      <w:r w:rsidRPr="004A7EDA">
        <w:rPr>
          <w:lang w:val="en-GB"/>
        </w:rPr>
        <w:t>in 2019–20). The percentage rate of employment growth has declined since 2018–19 due to the</w:t>
      </w:r>
      <w:r w:rsidR="00D51604">
        <w:rPr>
          <w:lang w:val="en-GB"/>
        </w:rPr>
        <w:t xml:space="preserve"> </w:t>
      </w:r>
      <w:r w:rsidRPr="004A7EDA">
        <w:rPr>
          <w:lang w:val="en-GB"/>
        </w:rPr>
        <w:t>impact of COVID-19.</w:t>
      </w:r>
    </w:p>
    <w:p w14:paraId="4B289412" w14:textId="77777777" w:rsidR="004A7EDA" w:rsidRPr="004A7EDA" w:rsidRDefault="004A7EDA" w:rsidP="004A7EDA">
      <w:pPr>
        <w:rPr>
          <w:lang w:val="en-GB"/>
        </w:rPr>
      </w:pPr>
      <w:r w:rsidRPr="004A7EDA">
        <w:rPr>
          <w:lang w:val="en-GB"/>
        </w:rPr>
        <w:t xml:space="preserve">With the completion of the Victorian Government’s first four-year creative industries strategy in 2020, Creative Victoria focused on the development of its follow up, Creative State 2025, in consultation with the sector. Over the period of the original Creative State (2016–2020) Creative and Cultural Industries employment grew by 27.5 per cent. The new strategy has a strong focus on creating new and better job opportunities and employment pathways, particularly in the wake of the </w:t>
      </w:r>
      <w:r w:rsidRPr="004A7EDA">
        <w:rPr>
          <w:lang w:val="en-GB"/>
        </w:rPr>
        <w:lastRenderedPageBreak/>
        <w:t>pandemic. The new strategy aims to underpin the creation of 60,000 new jobs and to upskill and diversify the workforce while ensuring Victorians can access and benefit from Victoria’s rich creative offerings.</w:t>
      </w:r>
    </w:p>
    <w:p w14:paraId="6EC54B81" w14:textId="590487F5" w:rsidR="004A7EDA" w:rsidRPr="004A7EDA" w:rsidRDefault="004A7EDA" w:rsidP="004A7EDA">
      <w:pPr>
        <w:rPr>
          <w:lang w:val="en-GB"/>
        </w:rPr>
      </w:pPr>
      <w:r w:rsidRPr="004A7EDA">
        <w:rPr>
          <w:lang w:val="en-GB"/>
        </w:rPr>
        <w:t>While international engagement was heavily impacted by COVID-19 restrictions on travel and physical gatherings, Creative Victoria supported Victorian businesses to connect online via a range</w:t>
      </w:r>
      <w:r w:rsidR="00D51604">
        <w:rPr>
          <w:lang w:val="en-GB"/>
        </w:rPr>
        <w:t xml:space="preserve"> </w:t>
      </w:r>
      <w:r w:rsidRPr="004A7EDA">
        <w:rPr>
          <w:lang w:val="en-GB"/>
        </w:rPr>
        <w:t>of digital platforms, including:</w:t>
      </w:r>
    </w:p>
    <w:p w14:paraId="21EE9352" w14:textId="4C1DE6C5" w:rsidR="004A7EDA" w:rsidRPr="004A7EDA" w:rsidRDefault="004A7EDA" w:rsidP="006C51BE">
      <w:pPr>
        <w:pStyle w:val="Bullet"/>
        <w:rPr>
          <w:lang w:val="en-GB"/>
        </w:rPr>
      </w:pPr>
      <w:r w:rsidRPr="004A7EDA">
        <w:rPr>
          <w:lang w:val="en-GB"/>
        </w:rPr>
        <w:t>Virtual trade missions to Canada (Performing Arts), Hong Kong (Design, Performing Arts),</w:t>
      </w:r>
      <w:r w:rsidR="00D51604">
        <w:rPr>
          <w:lang w:val="en-GB"/>
        </w:rPr>
        <w:t xml:space="preserve"> </w:t>
      </w:r>
      <w:r w:rsidRPr="004A7EDA">
        <w:rPr>
          <w:lang w:val="en-GB"/>
        </w:rPr>
        <w:t>Korea (Games, Performing Arts), the United States (Performing Arts, Games and Music)</w:t>
      </w:r>
    </w:p>
    <w:p w14:paraId="58966337" w14:textId="77777777" w:rsidR="004A7EDA" w:rsidRPr="004A7EDA" w:rsidRDefault="004A7EDA" w:rsidP="006C51BE">
      <w:pPr>
        <w:pStyle w:val="Bullet"/>
        <w:rPr>
          <w:lang w:val="en-GB"/>
        </w:rPr>
      </w:pPr>
      <w:r w:rsidRPr="004A7EDA">
        <w:rPr>
          <w:lang w:val="en-GB"/>
        </w:rPr>
        <w:t>Artist residencies in China, the United Kingdom (UK), India and Indonesia</w:t>
      </w:r>
    </w:p>
    <w:p w14:paraId="1C691830" w14:textId="5C597C5D" w:rsidR="004A7EDA" w:rsidRPr="004A7EDA" w:rsidRDefault="004A7EDA" w:rsidP="006C51BE">
      <w:pPr>
        <w:pStyle w:val="Bullet"/>
        <w:rPr>
          <w:lang w:val="en-GB"/>
        </w:rPr>
      </w:pPr>
      <w:r w:rsidRPr="004A7EDA">
        <w:rPr>
          <w:lang w:val="en-GB"/>
        </w:rPr>
        <w:t>Online industry forums and workshops</w:t>
      </w:r>
      <w:r w:rsidR="006C51BE">
        <w:rPr>
          <w:lang w:val="en-GB"/>
        </w:rPr>
        <w:t xml:space="preserve"> </w:t>
      </w:r>
      <w:r w:rsidRPr="004A7EDA">
        <w:rPr>
          <w:lang w:val="en-GB"/>
        </w:rPr>
        <w:t xml:space="preserve">in Timor </w:t>
      </w:r>
      <w:proofErr w:type="spellStart"/>
      <w:r w:rsidRPr="004A7EDA">
        <w:rPr>
          <w:lang w:val="en-GB"/>
        </w:rPr>
        <w:t>Leste</w:t>
      </w:r>
      <w:proofErr w:type="spellEnd"/>
      <w:r w:rsidRPr="004A7EDA">
        <w:rPr>
          <w:lang w:val="en-GB"/>
        </w:rPr>
        <w:t xml:space="preserve">, </w:t>
      </w:r>
      <w:proofErr w:type="gramStart"/>
      <w:r w:rsidRPr="004A7EDA">
        <w:rPr>
          <w:lang w:val="en-GB"/>
        </w:rPr>
        <w:t>India</w:t>
      </w:r>
      <w:proofErr w:type="gramEnd"/>
      <w:r w:rsidRPr="004A7EDA">
        <w:rPr>
          <w:lang w:val="en-GB"/>
        </w:rPr>
        <w:t xml:space="preserve"> and Canada</w:t>
      </w:r>
    </w:p>
    <w:p w14:paraId="06D1AFCD" w14:textId="0528056E" w:rsidR="004A7EDA" w:rsidRPr="004A7EDA" w:rsidRDefault="004A7EDA" w:rsidP="006C51BE">
      <w:pPr>
        <w:pStyle w:val="Bullet"/>
        <w:rPr>
          <w:lang w:val="en-GB"/>
        </w:rPr>
      </w:pPr>
      <w:r w:rsidRPr="004A7EDA">
        <w:rPr>
          <w:lang w:val="en-GB"/>
        </w:rPr>
        <w:t>Public sculpture commissioned for China</w:t>
      </w:r>
      <w:r w:rsidR="006C51BE">
        <w:rPr>
          <w:lang w:val="en-GB"/>
        </w:rPr>
        <w:t xml:space="preserve"> </w:t>
      </w:r>
      <w:r w:rsidRPr="004A7EDA">
        <w:rPr>
          <w:lang w:val="en-GB"/>
        </w:rPr>
        <w:t>and the UK.</w:t>
      </w:r>
    </w:p>
    <w:p w14:paraId="2327BF0D" w14:textId="1556DA28" w:rsidR="004A7EDA" w:rsidRPr="004A7EDA" w:rsidRDefault="004A7EDA" w:rsidP="006C51BE">
      <w:pPr>
        <w:rPr>
          <w:lang w:val="en-GB"/>
        </w:rPr>
      </w:pPr>
      <w:r w:rsidRPr="004A7EDA">
        <w:rPr>
          <w:lang w:val="en-GB"/>
        </w:rPr>
        <w:t>Additionally, local online platforms saw record levels of international participation including:</w:t>
      </w:r>
    </w:p>
    <w:p w14:paraId="46D90F44" w14:textId="77777777" w:rsidR="004A7EDA" w:rsidRPr="004A7EDA" w:rsidRDefault="004A7EDA" w:rsidP="006C51BE">
      <w:pPr>
        <w:pStyle w:val="Bullet"/>
        <w:rPr>
          <w:lang w:val="en-GB"/>
        </w:rPr>
      </w:pPr>
      <w:r w:rsidRPr="004A7EDA">
        <w:rPr>
          <w:lang w:val="en-GB"/>
        </w:rPr>
        <w:t>Melbourne Art Fair online</w:t>
      </w:r>
    </w:p>
    <w:p w14:paraId="102B90BA" w14:textId="77777777" w:rsidR="004A7EDA" w:rsidRPr="004A7EDA" w:rsidRDefault="004A7EDA" w:rsidP="006C51BE">
      <w:pPr>
        <w:pStyle w:val="Bullet"/>
        <w:rPr>
          <w:lang w:val="en-GB"/>
        </w:rPr>
      </w:pPr>
      <w:proofErr w:type="spellStart"/>
      <w:r w:rsidRPr="004A7EDA">
        <w:rPr>
          <w:lang w:val="en-GB"/>
        </w:rPr>
        <w:t>ReelOzInd</w:t>
      </w:r>
      <w:proofErr w:type="spellEnd"/>
      <w:r w:rsidRPr="004A7EDA">
        <w:rPr>
          <w:lang w:val="en-GB"/>
        </w:rPr>
        <w:t>! short film festival</w:t>
      </w:r>
    </w:p>
    <w:p w14:paraId="725BEE0F" w14:textId="77777777" w:rsidR="004A7EDA" w:rsidRPr="004A7EDA" w:rsidRDefault="004A7EDA" w:rsidP="006C51BE">
      <w:pPr>
        <w:pStyle w:val="Bullet"/>
        <w:rPr>
          <w:lang w:val="en-GB"/>
        </w:rPr>
      </w:pPr>
      <w:r w:rsidRPr="004A7EDA">
        <w:rPr>
          <w:lang w:val="en-GB"/>
        </w:rPr>
        <w:t>Sangam Performing Arts Festival of South Asia and Diaspora</w:t>
      </w:r>
    </w:p>
    <w:p w14:paraId="4BC8A205" w14:textId="77777777" w:rsidR="004A7EDA" w:rsidRPr="004A7EDA" w:rsidRDefault="004A7EDA" w:rsidP="006C51BE">
      <w:pPr>
        <w:pStyle w:val="Bullet"/>
        <w:rPr>
          <w:lang w:val="en-GB"/>
        </w:rPr>
      </w:pPr>
      <w:r w:rsidRPr="004A7EDA">
        <w:rPr>
          <w:lang w:val="en-GB"/>
        </w:rPr>
        <w:t>Melbourne Design Week</w:t>
      </w:r>
    </w:p>
    <w:p w14:paraId="6AFC7B4C" w14:textId="77777777" w:rsidR="004A7EDA" w:rsidRPr="004A7EDA" w:rsidRDefault="004A7EDA" w:rsidP="006C51BE">
      <w:pPr>
        <w:pStyle w:val="Bullet"/>
        <w:rPr>
          <w:lang w:val="en-GB"/>
        </w:rPr>
      </w:pPr>
      <w:r w:rsidRPr="004A7EDA">
        <w:rPr>
          <w:lang w:val="en-GB"/>
        </w:rPr>
        <w:t>Melbourne International Film Festival online</w:t>
      </w:r>
    </w:p>
    <w:p w14:paraId="7312F882" w14:textId="77777777" w:rsidR="004A7EDA" w:rsidRPr="004A7EDA" w:rsidRDefault="004A7EDA" w:rsidP="006C51BE">
      <w:pPr>
        <w:pStyle w:val="Bullet"/>
        <w:rPr>
          <w:lang w:val="en-GB"/>
        </w:rPr>
      </w:pPr>
      <w:r w:rsidRPr="004A7EDA">
        <w:rPr>
          <w:lang w:val="en-GB"/>
        </w:rPr>
        <w:t xml:space="preserve">Melbourne International Games Week. </w:t>
      </w:r>
    </w:p>
    <w:p w14:paraId="39D494A1" w14:textId="77777777" w:rsidR="004A7EDA" w:rsidRPr="004A7EDA" w:rsidRDefault="004A7EDA" w:rsidP="004A7EDA">
      <w:pPr>
        <w:rPr>
          <w:lang w:val="en-GB"/>
        </w:rPr>
      </w:pPr>
      <w:r w:rsidRPr="004A7EDA">
        <w:rPr>
          <w:lang w:val="en-GB"/>
        </w:rPr>
        <w:t xml:space="preserve">With Creative Victoria support through dedicated funding for online and eCommerce projects, funded entities undertook significant levels of online activity during the year to maintain crucial markets and audiences, and support Victoria’s international relationships. </w:t>
      </w:r>
    </w:p>
    <w:p w14:paraId="2B56B2A4" w14:textId="77777777" w:rsidR="004A7EDA" w:rsidRPr="004A7EDA" w:rsidRDefault="004A7EDA" w:rsidP="004A7EDA">
      <w:pPr>
        <w:rPr>
          <w:lang w:val="en-GB"/>
        </w:rPr>
      </w:pPr>
      <w:r w:rsidRPr="004A7EDA">
        <w:rPr>
          <w:lang w:val="en-GB"/>
        </w:rPr>
        <w:t>The government delivered a range of relief and rescue packages and initiatives during 2020–21, supporting continued employment in the creative industries in Victoria. </w:t>
      </w:r>
    </w:p>
    <w:p w14:paraId="3810025D" w14:textId="77777777" w:rsidR="004A7EDA" w:rsidRPr="004A7EDA" w:rsidRDefault="004A7EDA" w:rsidP="004A7EDA">
      <w:pPr>
        <w:rPr>
          <w:lang w:val="en-GB"/>
        </w:rPr>
      </w:pPr>
      <w:r w:rsidRPr="004A7EDA">
        <w:rPr>
          <w:lang w:val="en-GB"/>
        </w:rPr>
        <w:t xml:space="preserve">In 2019–20 and 2020–21, $188.25 million was allocated to Creative Industries sector survival, </w:t>
      </w:r>
      <w:proofErr w:type="gramStart"/>
      <w:r w:rsidRPr="004A7EDA">
        <w:rPr>
          <w:lang w:val="en-GB"/>
        </w:rPr>
        <w:t>recovery</w:t>
      </w:r>
      <w:proofErr w:type="gramEnd"/>
      <w:r w:rsidRPr="004A7EDA">
        <w:rPr>
          <w:lang w:val="en-GB"/>
        </w:rPr>
        <w:t xml:space="preserve"> and activation, including: </w:t>
      </w:r>
    </w:p>
    <w:p w14:paraId="593779E2" w14:textId="406CF876" w:rsidR="004A7EDA" w:rsidRPr="004A7EDA" w:rsidRDefault="004A7EDA" w:rsidP="00CF5547">
      <w:pPr>
        <w:pStyle w:val="Bullet"/>
        <w:rPr>
          <w:lang w:val="en-GB"/>
        </w:rPr>
      </w:pPr>
      <w:r w:rsidRPr="004A7EDA">
        <w:rPr>
          <w:lang w:val="en-GB"/>
        </w:rPr>
        <w:t>More than $25 million in dedicated support</w:t>
      </w:r>
      <w:r w:rsidR="00CF5547">
        <w:rPr>
          <w:lang w:val="en-GB"/>
        </w:rPr>
        <w:t xml:space="preserve"> </w:t>
      </w:r>
      <w:r w:rsidRPr="004A7EDA">
        <w:rPr>
          <w:lang w:val="en-GB"/>
        </w:rPr>
        <w:t>to the live music industry</w:t>
      </w:r>
    </w:p>
    <w:p w14:paraId="404BB39C" w14:textId="0BAEED1B" w:rsidR="004A7EDA" w:rsidRPr="004A7EDA" w:rsidRDefault="004A7EDA" w:rsidP="00CF5547">
      <w:pPr>
        <w:pStyle w:val="Bullet"/>
        <w:rPr>
          <w:lang w:val="en-GB"/>
        </w:rPr>
      </w:pPr>
      <w:r w:rsidRPr="004A7EDA">
        <w:rPr>
          <w:lang w:val="en-GB"/>
        </w:rPr>
        <w:t>More than $36 million to support the rebound</w:t>
      </w:r>
      <w:r w:rsidR="00CF5547">
        <w:rPr>
          <w:lang w:val="en-GB"/>
        </w:rPr>
        <w:t xml:space="preserve"> </w:t>
      </w:r>
      <w:r w:rsidRPr="004A7EDA">
        <w:rPr>
          <w:lang w:val="en-GB"/>
        </w:rPr>
        <w:t>of the Victorian screen industry.</w:t>
      </w:r>
    </w:p>
    <w:p w14:paraId="4337135E" w14:textId="144788CC" w:rsidR="004A7EDA" w:rsidRPr="004A7EDA" w:rsidRDefault="004A7EDA" w:rsidP="00CF5547">
      <w:pPr>
        <w:pStyle w:val="Heading4"/>
        <w:rPr>
          <w:lang w:val="en-GB"/>
        </w:rPr>
      </w:pPr>
      <w:r w:rsidRPr="004A7EDA">
        <w:rPr>
          <w:lang w:val="en-GB"/>
        </w:rPr>
        <w:t xml:space="preserve">Indicator: Employment in the Visitor Economy </w:t>
      </w:r>
    </w:p>
    <w:p w14:paraId="32EEC65B" w14:textId="77777777" w:rsidR="004A7EDA" w:rsidRPr="004A7EDA" w:rsidRDefault="004A7EDA" w:rsidP="00CF5547">
      <w:pPr>
        <w:pStyle w:val="Heading5"/>
        <w:rPr>
          <w:lang w:val="en-GB"/>
        </w:rPr>
      </w:pPr>
      <w:r w:rsidRPr="004A7EDA">
        <w:rPr>
          <w:lang w:val="en-GB"/>
        </w:rPr>
        <w:t xml:space="preserve">Table 17: Employment in the Visitor Economy </w:t>
      </w:r>
    </w:p>
    <w:tbl>
      <w:tblPr>
        <w:tblW w:w="0" w:type="auto"/>
        <w:tblInd w:w="28" w:type="dxa"/>
        <w:tblLayout w:type="fixed"/>
        <w:tblCellMar>
          <w:left w:w="0" w:type="dxa"/>
          <w:right w:w="0" w:type="dxa"/>
        </w:tblCellMar>
        <w:tblLook w:val="0000" w:firstRow="0" w:lastRow="0" w:firstColumn="0" w:lastColumn="0" w:noHBand="0" w:noVBand="0"/>
      </w:tblPr>
      <w:tblGrid>
        <w:gridCol w:w="4195"/>
        <w:gridCol w:w="1361"/>
        <w:gridCol w:w="1361"/>
        <w:gridCol w:w="1360"/>
        <w:gridCol w:w="1361"/>
      </w:tblGrid>
      <w:tr w:rsidR="004A7EDA" w:rsidRPr="004A7EDA" w14:paraId="4545F4AA"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D3C564C" w14:textId="77777777" w:rsidR="004A7EDA" w:rsidRPr="004A7EDA" w:rsidRDefault="004A7EDA" w:rsidP="00286AE3">
            <w:pPr>
              <w:pStyle w:val="TableHeading"/>
              <w:rPr>
                <w:lang w:val="en-GB"/>
              </w:rPr>
            </w:pPr>
            <w:r w:rsidRPr="004A7EDA">
              <w:rPr>
                <w:lang w:val="en-GB"/>
              </w:rPr>
              <w:t>Measure (unit of measure)</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EC74ECA" w14:textId="77777777" w:rsidR="004A7EDA" w:rsidRPr="004A7EDA" w:rsidRDefault="004A7EDA" w:rsidP="00286AE3">
            <w:pPr>
              <w:pStyle w:val="TableHeading"/>
              <w:rPr>
                <w:lang w:val="en-GB"/>
              </w:rPr>
            </w:pPr>
            <w:r w:rsidRPr="004A7EDA">
              <w:rPr>
                <w:lang w:val="en-GB"/>
              </w:rPr>
              <w:t>2017–18</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F268988" w14:textId="77777777" w:rsidR="004A7EDA" w:rsidRPr="004A7EDA" w:rsidRDefault="004A7EDA" w:rsidP="00286AE3">
            <w:pPr>
              <w:pStyle w:val="TableHeading"/>
              <w:rPr>
                <w:lang w:val="en-GB"/>
              </w:rPr>
            </w:pPr>
            <w:r w:rsidRPr="004A7EDA">
              <w:rPr>
                <w:lang w:val="en-GB"/>
              </w:rPr>
              <w:t>2018–19</w:t>
            </w:r>
          </w:p>
        </w:tc>
        <w:tc>
          <w:tcPr>
            <w:tcW w:w="1360"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476DA55" w14:textId="77777777" w:rsidR="004A7EDA" w:rsidRPr="004A7EDA" w:rsidRDefault="004A7EDA" w:rsidP="00286AE3">
            <w:pPr>
              <w:pStyle w:val="TableHeading"/>
              <w:rPr>
                <w:lang w:val="en-GB"/>
              </w:rPr>
            </w:pPr>
            <w:r w:rsidRPr="004A7EDA">
              <w:rPr>
                <w:lang w:val="en-GB"/>
              </w:rPr>
              <w:t>2019–20*</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EA2C3FE" w14:textId="77777777" w:rsidR="004A7EDA" w:rsidRPr="004A7EDA" w:rsidRDefault="004A7EDA" w:rsidP="00286AE3">
            <w:pPr>
              <w:pStyle w:val="TableHeading"/>
              <w:rPr>
                <w:lang w:val="en-GB"/>
              </w:rPr>
            </w:pPr>
            <w:r w:rsidRPr="004A7EDA">
              <w:rPr>
                <w:lang w:val="en-GB"/>
              </w:rPr>
              <w:t>2020–21</w:t>
            </w:r>
          </w:p>
        </w:tc>
      </w:tr>
      <w:tr w:rsidR="004A7EDA" w:rsidRPr="004A7EDA" w14:paraId="1CC63842" w14:textId="77777777">
        <w:trPr>
          <w:trHeight w:val="113"/>
        </w:trPr>
        <w:tc>
          <w:tcPr>
            <w:tcW w:w="419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7C7EE4F" w14:textId="77777777" w:rsidR="004A7EDA" w:rsidRPr="004A7EDA" w:rsidRDefault="004A7EDA" w:rsidP="00286AE3">
            <w:pPr>
              <w:pStyle w:val="TableCopy"/>
              <w:rPr>
                <w:lang w:val="en-GB"/>
              </w:rPr>
            </w:pPr>
            <w:r w:rsidRPr="004A7EDA">
              <w:rPr>
                <w:lang w:val="en-GB"/>
              </w:rPr>
              <w:t>Number of jobs in the visitor economy sector (number)</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C0E0A4A" w14:textId="77777777" w:rsidR="004A7EDA" w:rsidRPr="004A7EDA" w:rsidRDefault="004A7EDA" w:rsidP="00286AE3">
            <w:pPr>
              <w:pStyle w:val="TableCopy"/>
              <w:rPr>
                <w:lang w:val="en-GB"/>
              </w:rPr>
            </w:pPr>
            <w:r w:rsidRPr="004A7EDA">
              <w:rPr>
                <w:lang w:val="en-GB"/>
              </w:rPr>
              <w:t>247,900</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1AD9E91" w14:textId="77777777" w:rsidR="004A7EDA" w:rsidRPr="004A7EDA" w:rsidRDefault="004A7EDA" w:rsidP="00286AE3">
            <w:pPr>
              <w:pStyle w:val="TableCopy"/>
              <w:rPr>
                <w:lang w:val="en-GB"/>
              </w:rPr>
            </w:pPr>
            <w:r w:rsidRPr="004A7EDA">
              <w:rPr>
                <w:lang w:val="en-GB"/>
              </w:rPr>
              <w:t>263,300</w:t>
            </w:r>
          </w:p>
        </w:tc>
        <w:tc>
          <w:tcPr>
            <w:tcW w:w="1360"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CA8C071" w14:textId="77777777" w:rsidR="004A7EDA" w:rsidRPr="004A7EDA" w:rsidRDefault="004A7EDA" w:rsidP="00286AE3">
            <w:pPr>
              <w:pStyle w:val="TableCopy"/>
              <w:rPr>
                <w:lang w:val="en-GB"/>
              </w:rPr>
            </w:pPr>
            <w:r w:rsidRPr="004A7EDA">
              <w:rPr>
                <w:lang w:val="en-GB"/>
              </w:rPr>
              <w:t>232,000</w:t>
            </w:r>
          </w:p>
        </w:tc>
        <w:tc>
          <w:tcPr>
            <w:tcW w:w="136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0EBAFDA" w14:textId="77777777" w:rsidR="004A7EDA" w:rsidRPr="004A7EDA" w:rsidRDefault="004A7EDA" w:rsidP="00286AE3">
            <w:pPr>
              <w:pStyle w:val="TableCopy"/>
              <w:rPr>
                <w:lang w:val="en-GB"/>
              </w:rPr>
            </w:pPr>
            <w:r w:rsidRPr="004A7EDA">
              <w:rPr>
                <w:lang w:val="en-GB"/>
              </w:rPr>
              <w:t>Data expected</w:t>
            </w:r>
            <w:r w:rsidRPr="004A7EDA">
              <w:rPr>
                <w:lang w:val="en-GB"/>
              </w:rPr>
              <w:br/>
              <w:t>in 2022</w:t>
            </w:r>
          </w:p>
        </w:tc>
      </w:tr>
    </w:tbl>
    <w:p w14:paraId="031BCDCD" w14:textId="10B5BBBF" w:rsidR="004A7EDA" w:rsidRPr="004A7EDA" w:rsidRDefault="004A7EDA" w:rsidP="00286AE3">
      <w:pPr>
        <w:rPr>
          <w:lang w:val="en-GB"/>
        </w:rPr>
      </w:pPr>
      <w:r w:rsidRPr="004A7EDA">
        <w:rPr>
          <w:lang w:val="en-GB"/>
        </w:rPr>
        <w:t>*</w:t>
      </w:r>
      <w:r w:rsidR="00CF5547">
        <w:rPr>
          <w:lang w:val="en-GB"/>
        </w:rPr>
        <w:t xml:space="preserve"> </w:t>
      </w:r>
      <w:r w:rsidRPr="004A7EDA">
        <w:rPr>
          <w:lang w:val="en-GB"/>
        </w:rPr>
        <w:t>This is the latest available data from the State Tourism Satellite Accounts 2019–20, produced by Tourism Research Australia, March 2021. Changes to the inputs used to produce this data have resulted in revised historical estimates that should not be compared to previously published results.</w:t>
      </w:r>
    </w:p>
    <w:p w14:paraId="5CB2DCDB" w14:textId="18798761" w:rsidR="004A7EDA" w:rsidRPr="004A7EDA" w:rsidRDefault="004A7EDA" w:rsidP="00CF5547">
      <w:pPr>
        <w:pStyle w:val="Heading5"/>
        <w:rPr>
          <w:lang w:val="en-GB"/>
        </w:rPr>
      </w:pPr>
      <w:r w:rsidRPr="004A7EDA">
        <w:rPr>
          <w:lang w:val="en-GB"/>
        </w:rPr>
        <w:t>Figure 14: Number of jobs in the visitor</w:t>
      </w:r>
      <w:r w:rsidR="00CF5547">
        <w:rPr>
          <w:lang w:val="en-GB"/>
        </w:rPr>
        <w:t xml:space="preserve"> </w:t>
      </w:r>
      <w:r w:rsidRPr="004A7EDA">
        <w:rPr>
          <w:lang w:val="en-GB"/>
        </w:rPr>
        <w:t>economy sector</w:t>
      </w:r>
    </w:p>
    <w:p w14:paraId="54CF9DEB" w14:textId="29F3B32B" w:rsidR="004A7EDA" w:rsidRPr="004A7EDA" w:rsidRDefault="00CF5547" w:rsidP="004A7EDA">
      <w:pPr>
        <w:rPr>
          <w:lang w:val="en-GB"/>
        </w:rPr>
      </w:pPr>
      <w:r>
        <w:rPr>
          <w:noProof/>
          <w:lang w:val="en-GB"/>
        </w:rPr>
        <w:drawing>
          <wp:inline distT="0" distB="0" distL="0" distR="0" wp14:anchorId="052D47F9" wp14:editId="29E08C89">
            <wp:extent cx="2895600" cy="1932038"/>
            <wp:effectExtent l="0" t="0" r="0" b="0"/>
            <wp:docPr id="14" name="Picture 14" descr="Chart&#10;&#10;Number of jobs in the visitor economy sector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Number of jobs in the visitor economy sector 2017-2020"/>
                    <pic:cNvPicPr/>
                  </pic:nvPicPr>
                  <pic:blipFill rotWithShape="1">
                    <a:blip r:embed="rId25"/>
                    <a:srcRect b="22777"/>
                    <a:stretch/>
                  </pic:blipFill>
                  <pic:spPr bwMode="auto">
                    <a:xfrm>
                      <a:off x="0" y="0"/>
                      <a:ext cx="2895600" cy="1932038"/>
                    </a:xfrm>
                    <a:prstGeom prst="rect">
                      <a:avLst/>
                    </a:prstGeom>
                    <a:ln>
                      <a:noFill/>
                    </a:ln>
                    <a:extLst>
                      <a:ext uri="{53640926-AAD7-44D8-BBD7-CCE9431645EC}">
                        <a14:shadowObscured xmlns:a14="http://schemas.microsoft.com/office/drawing/2010/main"/>
                      </a:ext>
                    </a:extLst>
                  </pic:spPr>
                </pic:pic>
              </a:graphicData>
            </a:graphic>
          </wp:inline>
        </w:drawing>
      </w:r>
    </w:p>
    <w:p w14:paraId="20132EBF" w14:textId="77777777" w:rsidR="004A7EDA" w:rsidRPr="004A7EDA" w:rsidRDefault="004A7EDA" w:rsidP="004A7EDA">
      <w:pPr>
        <w:rPr>
          <w:lang w:val="en-GB"/>
        </w:rPr>
      </w:pPr>
      <w:r w:rsidRPr="004A7EDA">
        <w:rPr>
          <w:lang w:val="en-GB"/>
        </w:rPr>
        <w:lastRenderedPageBreak/>
        <w:t xml:space="preserve">Tourism in Victoria generated employment of approximately 232,000 people (direct and indirect jobs) in 2019–20, noting a decline of 11.9 per cent (or down 31,200 jobs) compared to 2018–19 estimates. </w:t>
      </w:r>
    </w:p>
    <w:p w14:paraId="1AF51EAB" w14:textId="13788815" w:rsidR="004A7EDA" w:rsidRPr="004A7EDA" w:rsidRDefault="004A7EDA" w:rsidP="004A7EDA">
      <w:pPr>
        <w:rPr>
          <w:lang w:val="en-GB"/>
        </w:rPr>
      </w:pPr>
      <w:r w:rsidRPr="004A7EDA">
        <w:rPr>
          <w:lang w:val="en-GB"/>
        </w:rPr>
        <w:t>The decline in tourism employment in Victoria</w:t>
      </w:r>
      <w:r w:rsidR="00903E61">
        <w:rPr>
          <w:lang w:val="en-GB"/>
        </w:rPr>
        <w:t xml:space="preserve"> </w:t>
      </w:r>
      <w:r w:rsidRPr="004A7EDA">
        <w:rPr>
          <w:lang w:val="en-GB"/>
        </w:rPr>
        <w:t>has been driven by the COVID-19 pandemic</w:t>
      </w:r>
      <w:r w:rsidR="00903E61">
        <w:rPr>
          <w:lang w:val="en-GB"/>
        </w:rPr>
        <w:t xml:space="preserve"> </w:t>
      </w:r>
      <w:r w:rsidRPr="004A7EDA">
        <w:rPr>
          <w:lang w:val="en-GB"/>
        </w:rPr>
        <w:t xml:space="preserve">and associated restrictions on both international and domestic travel. Given that the latest results are for the 2019–20 financial year they may not fully reflect the impact of the pandemic on tourism jobs. </w:t>
      </w:r>
    </w:p>
    <w:p w14:paraId="48A65253" w14:textId="7C3D4209" w:rsidR="004A7EDA" w:rsidRPr="004A7EDA" w:rsidRDefault="004A7EDA" w:rsidP="004A7EDA">
      <w:pPr>
        <w:rPr>
          <w:lang w:val="en-GB"/>
        </w:rPr>
      </w:pPr>
      <w:r w:rsidRPr="004A7EDA">
        <w:rPr>
          <w:lang w:val="en-GB"/>
        </w:rPr>
        <w:t>Looking at the distribution of direct tourism</w:t>
      </w:r>
      <w:r w:rsidR="00903E61">
        <w:rPr>
          <w:lang w:val="en-GB"/>
        </w:rPr>
        <w:t xml:space="preserve"> </w:t>
      </w:r>
      <w:r w:rsidRPr="004A7EDA">
        <w:rPr>
          <w:lang w:val="en-GB"/>
        </w:rPr>
        <w:t>jobs across Victorian industries in 2019–20,</w:t>
      </w:r>
      <w:r w:rsidR="00903E61">
        <w:rPr>
          <w:lang w:val="en-GB"/>
        </w:rPr>
        <w:t xml:space="preserve"> </w:t>
      </w:r>
      <w:r w:rsidRPr="004A7EDA">
        <w:rPr>
          <w:lang w:val="en-GB"/>
        </w:rPr>
        <w:t xml:space="preserve">cafés, </w:t>
      </w:r>
      <w:proofErr w:type="gramStart"/>
      <w:r w:rsidRPr="004A7EDA">
        <w:rPr>
          <w:lang w:val="en-GB"/>
        </w:rPr>
        <w:t>restaurants</w:t>
      </w:r>
      <w:proofErr w:type="gramEnd"/>
      <w:r w:rsidRPr="004A7EDA">
        <w:rPr>
          <w:lang w:val="en-GB"/>
        </w:rPr>
        <w:t xml:space="preserve"> and takeaway food services</w:t>
      </w:r>
      <w:r w:rsidR="00903E61">
        <w:rPr>
          <w:lang w:val="en-GB"/>
        </w:rPr>
        <w:t xml:space="preserve"> </w:t>
      </w:r>
      <w:r w:rsidRPr="004A7EDA">
        <w:rPr>
          <w:lang w:val="en-GB"/>
        </w:rPr>
        <w:t>(31 per cent) accounted for the largest share</w:t>
      </w:r>
      <w:r w:rsidR="00903E61">
        <w:rPr>
          <w:lang w:val="en-GB"/>
        </w:rPr>
        <w:t xml:space="preserve"> </w:t>
      </w:r>
      <w:r w:rsidRPr="004A7EDA">
        <w:rPr>
          <w:lang w:val="en-GB"/>
        </w:rPr>
        <w:t>of direct tourism employment, followed by retail trade (15 per cent), accommodation (13 per cent),</w:t>
      </w:r>
      <w:r w:rsidR="00903E61">
        <w:rPr>
          <w:lang w:val="en-GB"/>
        </w:rPr>
        <w:t xml:space="preserve"> </w:t>
      </w:r>
      <w:r w:rsidRPr="004A7EDA">
        <w:rPr>
          <w:lang w:val="en-GB"/>
        </w:rPr>
        <w:t xml:space="preserve">and education and training (10 per cent). </w:t>
      </w:r>
    </w:p>
    <w:p w14:paraId="35C93AEC" w14:textId="77777777" w:rsidR="004A7EDA" w:rsidRPr="004A7EDA" w:rsidRDefault="004A7EDA" w:rsidP="00903E61">
      <w:pPr>
        <w:pStyle w:val="Heading4"/>
        <w:rPr>
          <w:lang w:val="en-GB"/>
        </w:rPr>
      </w:pPr>
      <w:r w:rsidRPr="004A7EDA">
        <w:rPr>
          <w:lang w:val="en-GB"/>
        </w:rPr>
        <w:t>Indicator: Tourists attracted to Victoria</w:t>
      </w:r>
    </w:p>
    <w:p w14:paraId="03E64681" w14:textId="77777777" w:rsidR="004A7EDA" w:rsidRPr="004A7EDA" w:rsidRDefault="004A7EDA" w:rsidP="00903E61">
      <w:pPr>
        <w:pStyle w:val="Heading5"/>
        <w:rPr>
          <w:lang w:val="en-GB"/>
        </w:rPr>
      </w:pPr>
      <w:r w:rsidRPr="004A7EDA">
        <w:rPr>
          <w:lang w:val="en-GB"/>
        </w:rPr>
        <w:t>Table 18: Tourists attracted to Victoria</w:t>
      </w:r>
    </w:p>
    <w:tbl>
      <w:tblPr>
        <w:tblW w:w="0" w:type="auto"/>
        <w:tblInd w:w="28" w:type="dxa"/>
        <w:tblLayout w:type="fixed"/>
        <w:tblCellMar>
          <w:left w:w="0" w:type="dxa"/>
          <w:right w:w="0" w:type="dxa"/>
        </w:tblCellMar>
        <w:tblLook w:val="0000" w:firstRow="0" w:lastRow="0" w:firstColumn="0" w:lastColumn="0" w:noHBand="0" w:noVBand="0"/>
      </w:tblPr>
      <w:tblGrid>
        <w:gridCol w:w="5353"/>
        <w:gridCol w:w="1189"/>
        <w:gridCol w:w="1189"/>
        <w:gridCol w:w="1189"/>
        <w:gridCol w:w="1189"/>
      </w:tblGrid>
      <w:tr w:rsidR="004A7EDA" w:rsidRPr="004A7EDA" w14:paraId="5023E145" w14:textId="77777777" w:rsidTr="00C31C1E">
        <w:trPr>
          <w:trHeight w:val="215"/>
        </w:trPr>
        <w:tc>
          <w:tcPr>
            <w:tcW w:w="5353"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42B8361" w14:textId="77777777" w:rsidR="004A7EDA" w:rsidRPr="004A7EDA" w:rsidRDefault="004A7EDA" w:rsidP="00286AE3">
            <w:pPr>
              <w:pStyle w:val="TableHeading"/>
              <w:rPr>
                <w:lang w:val="en-GB"/>
              </w:rPr>
            </w:pPr>
            <w:r w:rsidRPr="004A7EDA">
              <w:rPr>
                <w:lang w:val="en-GB"/>
              </w:rPr>
              <w:t>Measure (unit of measure)</w:t>
            </w:r>
          </w:p>
        </w:tc>
        <w:tc>
          <w:tcPr>
            <w:tcW w:w="1189"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45BE2C7" w14:textId="77777777" w:rsidR="004A7EDA" w:rsidRPr="004A7EDA" w:rsidRDefault="004A7EDA" w:rsidP="00286AE3">
            <w:pPr>
              <w:pStyle w:val="TableHeading"/>
              <w:rPr>
                <w:lang w:val="en-GB"/>
              </w:rPr>
            </w:pPr>
            <w:r w:rsidRPr="004A7EDA">
              <w:rPr>
                <w:lang w:val="en-GB"/>
              </w:rPr>
              <w:t>2017–18</w:t>
            </w:r>
          </w:p>
        </w:tc>
        <w:tc>
          <w:tcPr>
            <w:tcW w:w="1189"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417AB28" w14:textId="77777777" w:rsidR="004A7EDA" w:rsidRPr="004A7EDA" w:rsidRDefault="004A7EDA" w:rsidP="00286AE3">
            <w:pPr>
              <w:pStyle w:val="TableHeading"/>
              <w:rPr>
                <w:lang w:val="en-GB"/>
              </w:rPr>
            </w:pPr>
            <w:r w:rsidRPr="004A7EDA">
              <w:rPr>
                <w:lang w:val="en-GB"/>
              </w:rPr>
              <w:t>2018–19</w:t>
            </w:r>
          </w:p>
        </w:tc>
        <w:tc>
          <w:tcPr>
            <w:tcW w:w="1189"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B0E0695" w14:textId="77777777" w:rsidR="004A7EDA" w:rsidRPr="004A7EDA" w:rsidRDefault="004A7EDA" w:rsidP="00286AE3">
            <w:pPr>
              <w:pStyle w:val="TableHeading"/>
              <w:rPr>
                <w:lang w:val="en-GB"/>
              </w:rPr>
            </w:pPr>
            <w:r w:rsidRPr="004A7EDA">
              <w:rPr>
                <w:lang w:val="en-GB"/>
              </w:rPr>
              <w:t>2019–20</w:t>
            </w:r>
          </w:p>
        </w:tc>
        <w:tc>
          <w:tcPr>
            <w:tcW w:w="1189"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41F4EEE" w14:textId="77777777" w:rsidR="004A7EDA" w:rsidRPr="004A7EDA" w:rsidRDefault="004A7EDA" w:rsidP="00286AE3">
            <w:pPr>
              <w:pStyle w:val="TableHeading"/>
              <w:rPr>
                <w:lang w:val="en-GB"/>
              </w:rPr>
            </w:pPr>
            <w:r w:rsidRPr="004A7EDA">
              <w:rPr>
                <w:lang w:val="en-GB"/>
              </w:rPr>
              <w:t>2020–21*</w:t>
            </w:r>
          </w:p>
        </w:tc>
      </w:tr>
      <w:tr w:rsidR="004A7EDA" w:rsidRPr="004A7EDA" w14:paraId="1D3CB822" w14:textId="77777777" w:rsidTr="00C31C1E">
        <w:trPr>
          <w:trHeight w:val="215"/>
        </w:trPr>
        <w:tc>
          <w:tcPr>
            <w:tcW w:w="5353"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0B85E19F" w14:textId="5627596A" w:rsidR="004A7EDA" w:rsidRPr="004A7EDA" w:rsidRDefault="004A7EDA" w:rsidP="00286AE3">
            <w:pPr>
              <w:pStyle w:val="TableCopy"/>
              <w:rPr>
                <w:lang w:val="en-GB"/>
              </w:rPr>
            </w:pPr>
            <w:r w:rsidRPr="004A7EDA">
              <w:rPr>
                <w:lang w:val="en-GB"/>
              </w:rPr>
              <w:t>Number of domestic overnight visitors</w:t>
            </w:r>
            <w:r w:rsidR="00903E61">
              <w:rPr>
                <w:lang w:val="en-GB"/>
              </w:rPr>
              <w:t xml:space="preserve"> </w:t>
            </w:r>
            <w:r w:rsidRPr="004A7EDA">
              <w:rPr>
                <w:lang w:val="en-GB"/>
              </w:rPr>
              <w:t>(number (million)</w:t>
            </w:r>
            <w:r w:rsidR="00903E61">
              <w:rPr>
                <w:lang w:val="en-GB"/>
              </w:rPr>
              <w:t>)</w:t>
            </w:r>
          </w:p>
        </w:tc>
        <w:tc>
          <w:tcPr>
            <w:tcW w:w="1189"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A2D442A" w14:textId="77777777" w:rsidR="004A7EDA" w:rsidRPr="004A7EDA" w:rsidRDefault="004A7EDA" w:rsidP="00286AE3">
            <w:pPr>
              <w:pStyle w:val="TableCopy"/>
              <w:rPr>
                <w:lang w:val="en-GB"/>
              </w:rPr>
            </w:pPr>
            <w:r w:rsidRPr="004A7EDA">
              <w:rPr>
                <w:lang w:val="en-GB"/>
              </w:rPr>
              <w:t>24</w:t>
            </w:r>
          </w:p>
        </w:tc>
        <w:tc>
          <w:tcPr>
            <w:tcW w:w="1189"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59CC9F7" w14:textId="77777777" w:rsidR="004A7EDA" w:rsidRPr="004A7EDA" w:rsidRDefault="004A7EDA" w:rsidP="00286AE3">
            <w:pPr>
              <w:pStyle w:val="TableCopy"/>
              <w:rPr>
                <w:lang w:val="en-GB"/>
              </w:rPr>
            </w:pPr>
            <w:r w:rsidRPr="004A7EDA">
              <w:rPr>
                <w:lang w:val="en-GB"/>
              </w:rPr>
              <w:t>27.8</w:t>
            </w:r>
          </w:p>
        </w:tc>
        <w:tc>
          <w:tcPr>
            <w:tcW w:w="1189"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0AFCBFE2" w14:textId="77777777" w:rsidR="004A7EDA" w:rsidRPr="004A7EDA" w:rsidRDefault="004A7EDA" w:rsidP="00286AE3">
            <w:pPr>
              <w:pStyle w:val="TableCopy"/>
              <w:rPr>
                <w:lang w:val="en-GB"/>
              </w:rPr>
            </w:pPr>
            <w:r w:rsidRPr="004A7EDA">
              <w:rPr>
                <w:lang w:val="en-GB"/>
              </w:rPr>
              <w:t>28.3</w:t>
            </w:r>
          </w:p>
        </w:tc>
        <w:tc>
          <w:tcPr>
            <w:tcW w:w="1189"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1D59E897" w14:textId="77777777" w:rsidR="004A7EDA" w:rsidRPr="004A7EDA" w:rsidRDefault="004A7EDA" w:rsidP="00286AE3">
            <w:pPr>
              <w:pStyle w:val="TableCopy"/>
              <w:rPr>
                <w:lang w:val="en-GB"/>
              </w:rPr>
            </w:pPr>
            <w:r w:rsidRPr="004A7EDA">
              <w:rPr>
                <w:lang w:val="en-GB"/>
              </w:rPr>
              <w:t>13.4</w:t>
            </w:r>
          </w:p>
        </w:tc>
      </w:tr>
      <w:tr w:rsidR="004A7EDA" w:rsidRPr="004A7EDA" w14:paraId="18FED5DA" w14:textId="77777777" w:rsidTr="00C31C1E">
        <w:trPr>
          <w:trHeight w:val="215"/>
        </w:trPr>
        <w:tc>
          <w:tcPr>
            <w:tcW w:w="5353"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D70AA92" w14:textId="7D08D02D" w:rsidR="004A7EDA" w:rsidRPr="004A7EDA" w:rsidRDefault="004A7EDA" w:rsidP="00286AE3">
            <w:pPr>
              <w:pStyle w:val="TableCopy"/>
              <w:rPr>
                <w:lang w:val="en-GB"/>
              </w:rPr>
            </w:pPr>
            <w:r w:rsidRPr="004A7EDA">
              <w:rPr>
                <w:lang w:val="en-GB"/>
              </w:rPr>
              <w:t>Number of international visitors</w:t>
            </w:r>
            <w:r w:rsidR="00903E61">
              <w:rPr>
                <w:lang w:val="en-GB"/>
              </w:rPr>
              <w:t xml:space="preserve"> </w:t>
            </w:r>
            <w:r w:rsidRPr="004A7EDA">
              <w:rPr>
                <w:lang w:val="en-GB"/>
              </w:rPr>
              <w:t>(number (million))</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64C820D" w14:textId="77777777" w:rsidR="004A7EDA" w:rsidRPr="004A7EDA" w:rsidRDefault="004A7EDA" w:rsidP="00286AE3">
            <w:pPr>
              <w:pStyle w:val="TableCopy"/>
              <w:rPr>
                <w:lang w:val="en-GB"/>
              </w:rPr>
            </w:pPr>
            <w:r w:rsidRPr="004A7EDA">
              <w:rPr>
                <w:lang w:val="en-GB"/>
              </w:rPr>
              <w:t>3</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025EC7C" w14:textId="77777777" w:rsidR="004A7EDA" w:rsidRPr="004A7EDA" w:rsidRDefault="004A7EDA" w:rsidP="00286AE3">
            <w:pPr>
              <w:pStyle w:val="TableCopy"/>
              <w:rPr>
                <w:lang w:val="en-GB"/>
              </w:rPr>
            </w:pPr>
            <w:r w:rsidRPr="004A7EDA">
              <w:rPr>
                <w:lang w:val="en-GB"/>
              </w:rPr>
              <w:t>3.1</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9EE40FE" w14:textId="77777777" w:rsidR="004A7EDA" w:rsidRPr="004A7EDA" w:rsidRDefault="004A7EDA" w:rsidP="00286AE3">
            <w:pPr>
              <w:pStyle w:val="TableCopy"/>
              <w:rPr>
                <w:lang w:val="en-GB"/>
              </w:rPr>
            </w:pPr>
            <w:r w:rsidRPr="004A7EDA">
              <w:rPr>
                <w:lang w:val="en-GB"/>
              </w:rPr>
              <w:t>2.8</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44011FD" w14:textId="77777777" w:rsidR="004A7EDA" w:rsidRPr="004A7EDA" w:rsidRDefault="004A7EDA" w:rsidP="00286AE3">
            <w:pPr>
              <w:pStyle w:val="TableCopy"/>
              <w:rPr>
                <w:lang w:val="en-GB"/>
              </w:rPr>
            </w:pPr>
            <w:r w:rsidRPr="004A7EDA">
              <w:rPr>
                <w:lang w:val="en-GB"/>
              </w:rPr>
              <w:t>0.01</w:t>
            </w:r>
          </w:p>
        </w:tc>
      </w:tr>
      <w:tr w:rsidR="004A7EDA" w:rsidRPr="004A7EDA" w14:paraId="39FB138C" w14:textId="77777777" w:rsidTr="00C31C1E">
        <w:trPr>
          <w:trHeight w:val="215"/>
        </w:trPr>
        <w:tc>
          <w:tcPr>
            <w:tcW w:w="5353"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035ED5DB" w14:textId="51C44CBA" w:rsidR="004A7EDA" w:rsidRPr="004A7EDA" w:rsidRDefault="004A7EDA" w:rsidP="00286AE3">
            <w:pPr>
              <w:pStyle w:val="TableCopy"/>
              <w:rPr>
                <w:lang w:val="en-GB"/>
              </w:rPr>
            </w:pPr>
            <w:r w:rsidRPr="004A7EDA">
              <w:rPr>
                <w:lang w:val="en-GB"/>
              </w:rPr>
              <w:t>Visitor expenditure: domestic</w:t>
            </w:r>
            <w:r w:rsidR="00903E61">
              <w:rPr>
                <w:lang w:val="en-GB"/>
              </w:rPr>
              <w:t xml:space="preserve"> </w:t>
            </w:r>
            <w:r w:rsidRPr="004A7EDA">
              <w:rPr>
                <w:lang w:val="en-GB"/>
              </w:rPr>
              <w:t>($ billion)</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83ED4E0" w14:textId="77777777" w:rsidR="004A7EDA" w:rsidRPr="004A7EDA" w:rsidRDefault="004A7EDA" w:rsidP="00286AE3">
            <w:pPr>
              <w:pStyle w:val="TableCopy"/>
              <w:rPr>
                <w:lang w:val="en-GB"/>
              </w:rPr>
            </w:pPr>
            <w:r w:rsidRPr="004A7EDA">
              <w:rPr>
                <w:lang w:val="en-GB"/>
              </w:rPr>
              <w:t>18.8</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4D79768E" w14:textId="77777777" w:rsidR="004A7EDA" w:rsidRPr="004A7EDA" w:rsidRDefault="004A7EDA" w:rsidP="00286AE3">
            <w:pPr>
              <w:pStyle w:val="TableCopy"/>
              <w:rPr>
                <w:lang w:val="en-GB"/>
              </w:rPr>
            </w:pPr>
            <w:r w:rsidRPr="004A7EDA">
              <w:rPr>
                <w:lang w:val="en-GB"/>
              </w:rPr>
              <w:t>21.5</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47C615FA" w14:textId="77777777" w:rsidR="004A7EDA" w:rsidRPr="004A7EDA" w:rsidRDefault="004A7EDA" w:rsidP="00286AE3">
            <w:pPr>
              <w:pStyle w:val="TableCopy"/>
              <w:rPr>
                <w:lang w:val="en-GB"/>
              </w:rPr>
            </w:pPr>
            <w:r w:rsidRPr="004A7EDA">
              <w:rPr>
                <w:lang w:val="en-GB"/>
              </w:rPr>
              <w:t>23.2</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15460358" w14:textId="77777777" w:rsidR="004A7EDA" w:rsidRPr="004A7EDA" w:rsidRDefault="004A7EDA" w:rsidP="00286AE3">
            <w:pPr>
              <w:pStyle w:val="TableCopy"/>
              <w:rPr>
                <w:lang w:val="en-GB"/>
              </w:rPr>
            </w:pPr>
            <w:r w:rsidRPr="004A7EDA">
              <w:rPr>
                <w:lang w:val="en-GB"/>
              </w:rPr>
              <w:t>9.7</w:t>
            </w:r>
          </w:p>
        </w:tc>
      </w:tr>
      <w:tr w:rsidR="004A7EDA" w:rsidRPr="004A7EDA" w14:paraId="4633911F" w14:textId="77777777" w:rsidTr="00C31C1E">
        <w:trPr>
          <w:trHeight w:val="215"/>
        </w:trPr>
        <w:tc>
          <w:tcPr>
            <w:tcW w:w="5353"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7029ADC2" w14:textId="58402750" w:rsidR="004A7EDA" w:rsidRPr="004A7EDA" w:rsidRDefault="004A7EDA" w:rsidP="00286AE3">
            <w:pPr>
              <w:pStyle w:val="TableCopy"/>
              <w:rPr>
                <w:lang w:val="en-GB"/>
              </w:rPr>
            </w:pPr>
            <w:r w:rsidRPr="004A7EDA">
              <w:rPr>
                <w:lang w:val="en-GB"/>
              </w:rPr>
              <w:t>Visitor expenditure: international</w:t>
            </w:r>
            <w:r w:rsidR="00903E61">
              <w:rPr>
                <w:lang w:val="en-GB"/>
              </w:rPr>
              <w:t xml:space="preserve"> </w:t>
            </w:r>
            <w:r w:rsidRPr="004A7EDA">
              <w:rPr>
                <w:lang w:val="en-GB"/>
              </w:rPr>
              <w:t>($ billion)</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09FBEBC2" w14:textId="77777777" w:rsidR="004A7EDA" w:rsidRPr="004A7EDA" w:rsidRDefault="004A7EDA" w:rsidP="00286AE3">
            <w:pPr>
              <w:pStyle w:val="TableCopy"/>
              <w:rPr>
                <w:lang w:val="en-GB"/>
              </w:rPr>
            </w:pPr>
            <w:r w:rsidRPr="004A7EDA">
              <w:rPr>
                <w:lang w:val="en-GB"/>
              </w:rPr>
              <w:t>8</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09023C1" w14:textId="77777777" w:rsidR="004A7EDA" w:rsidRPr="004A7EDA" w:rsidRDefault="004A7EDA" w:rsidP="00286AE3">
            <w:pPr>
              <w:pStyle w:val="TableCopy"/>
              <w:rPr>
                <w:lang w:val="en-GB"/>
              </w:rPr>
            </w:pPr>
            <w:r w:rsidRPr="004A7EDA">
              <w:rPr>
                <w:lang w:val="en-GB"/>
              </w:rPr>
              <w:t>8.5</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54B87861" w14:textId="77777777" w:rsidR="004A7EDA" w:rsidRPr="004A7EDA" w:rsidRDefault="004A7EDA" w:rsidP="00286AE3">
            <w:pPr>
              <w:pStyle w:val="TableCopy"/>
              <w:rPr>
                <w:lang w:val="en-GB"/>
              </w:rPr>
            </w:pPr>
            <w:r w:rsidRPr="004A7EDA">
              <w:rPr>
                <w:lang w:val="en-GB"/>
              </w:rPr>
              <w:t>8.1</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43EF1634" w14:textId="77777777" w:rsidR="004A7EDA" w:rsidRPr="004A7EDA" w:rsidRDefault="004A7EDA" w:rsidP="00286AE3">
            <w:pPr>
              <w:pStyle w:val="TableCopy"/>
              <w:rPr>
                <w:lang w:val="en-GB"/>
              </w:rPr>
            </w:pPr>
            <w:r w:rsidRPr="004A7EDA">
              <w:rPr>
                <w:lang w:val="en-GB"/>
              </w:rPr>
              <w:t>0.08</w:t>
            </w:r>
          </w:p>
        </w:tc>
      </w:tr>
      <w:tr w:rsidR="004A7EDA" w:rsidRPr="004A7EDA" w14:paraId="0E307837" w14:textId="77777777" w:rsidTr="00C31C1E">
        <w:trPr>
          <w:trHeight w:val="215"/>
        </w:trPr>
        <w:tc>
          <w:tcPr>
            <w:tcW w:w="5353"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43532FFF" w14:textId="677E1A69" w:rsidR="004A7EDA" w:rsidRPr="004A7EDA" w:rsidRDefault="004A7EDA" w:rsidP="00286AE3">
            <w:pPr>
              <w:pStyle w:val="TableCopy"/>
              <w:rPr>
                <w:lang w:val="en-GB"/>
              </w:rPr>
            </w:pPr>
            <w:r w:rsidRPr="004A7EDA">
              <w:rPr>
                <w:lang w:val="en-GB"/>
              </w:rPr>
              <w:t>Visitor expenditure: regional Victoria (domestic)</w:t>
            </w:r>
            <w:r w:rsidR="00903E61">
              <w:rPr>
                <w:lang w:val="en-GB"/>
              </w:rPr>
              <w:t xml:space="preserve"> </w:t>
            </w:r>
            <w:r w:rsidRPr="004A7EDA">
              <w:rPr>
                <w:lang w:val="en-GB"/>
              </w:rPr>
              <w:t>($ billion)</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9652C64" w14:textId="77777777" w:rsidR="004A7EDA" w:rsidRPr="004A7EDA" w:rsidRDefault="004A7EDA" w:rsidP="00286AE3">
            <w:pPr>
              <w:pStyle w:val="TableCopy"/>
              <w:rPr>
                <w:lang w:val="en-GB"/>
              </w:rPr>
            </w:pPr>
            <w:r w:rsidRPr="004A7EDA">
              <w:rPr>
                <w:lang w:val="en-GB"/>
              </w:rPr>
              <w:t>9.1</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964E19A" w14:textId="77777777" w:rsidR="004A7EDA" w:rsidRPr="004A7EDA" w:rsidRDefault="004A7EDA" w:rsidP="00286AE3">
            <w:pPr>
              <w:pStyle w:val="TableCopy"/>
              <w:rPr>
                <w:lang w:val="en-GB"/>
              </w:rPr>
            </w:pPr>
            <w:r w:rsidRPr="004A7EDA">
              <w:rPr>
                <w:lang w:val="en-GB"/>
              </w:rPr>
              <w:t>10.4</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5E2FB2A6" w14:textId="77777777" w:rsidR="004A7EDA" w:rsidRPr="004A7EDA" w:rsidRDefault="004A7EDA" w:rsidP="00286AE3">
            <w:pPr>
              <w:pStyle w:val="TableCopy"/>
              <w:rPr>
                <w:lang w:val="en-GB"/>
              </w:rPr>
            </w:pPr>
            <w:r w:rsidRPr="004A7EDA">
              <w:rPr>
                <w:lang w:val="en-GB"/>
              </w:rPr>
              <w:t>11.3</w:t>
            </w:r>
          </w:p>
        </w:tc>
        <w:tc>
          <w:tcPr>
            <w:tcW w:w="1189"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6E5851C" w14:textId="77777777" w:rsidR="004A7EDA" w:rsidRPr="004A7EDA" w:rsidRDefault="004A7EDA" w:rsidP="00286AE3">
            <w:pPr>
              <w:pStyle w:val="TableCopy"/>
              <w:rPr>
                <w:lang w:val="en-GB"/>
              </w:rPr>
            </w:pPr>
            <w:r w:rsidRPr="004A7EDA">
              <w:rPr>
                <w:lang w:val="en-GB"/>
              </w:rPr>
              <w:t>7.0</w:t>
            </w:r>
          </w:p>
        </w:tc>
      </w:tr>
      <w:tr w:rsidR="004A7EDA" w:rsidRPr="004A7EDA" w14:paraId="18D1D1F9" w14:textId="77777777" w:rsidTr="00C31C1E">
        <w:trPr>
          <w:trHeight w:val="215"/>
        </w:trPr>
        <w:tc>
          <w:tcPr>
            <w:tcW w:w="5353"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4807ED0" w14:textId="77777777" w:rsidR="004A7EDA" w:rsidRPr="004A7EDA" w:rsidRDefault="004A7EDA" w:rsidP="00286AE3">
            <w:pPr>
              <w:pStyle w:val="TableCopy"/>
              <w:rPr>
                <w:lang w:val="en-GB"/>
              </w:rPr>
            </w:pPr>
            <w:r w:rsidRPr="004A7EDA">
              <w:rPr>
                <w:lang w:val="en-GB"/>
              </w:rPr>
              <w:t>Visitor expenditure: regional Victoria (international)</w:t>
            </w:r>
            <w:r w:rsidRPr="004A7EDA">
              <w:rPr>
                <w:lang w:val="en-GB"/>
              </w:rPr>
              <w:br/>
              <w:t>($ million)</w:t>
            </w:r>
          </w:p>
        </w:tc>
        <w:tc>
          <w:tcPr>
            <w:tcW w:w="1189"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08DF18B" w14:textId="77777777" w:rsidR="004A7EDA" w:rsidRPr="004A7EDA" w:rsidRDefault="004A7EDA" w:rsidP="00286AE3">
            <w:pPr>
              <w:pStyle w:val="TableCopy"/>
              <w:rPr>
                <w:lang w:val="en-GB"/>
              </w:rPr>
            </w:pPr>
            <w:r w:rsidRPr="004A7EDA">
              <w:rPr>
                <w:lang w:val="en-GB"/>
              </w:rPr>
              <w:t>570</w:t>
            </w:r>
          </w:p>
        </w:tc>
        <w:tc>
          <w:tcPr>
            <w:tcW w:w="1189"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0781E43" w14:textId="77777777" w:rsidR="004A7EDA" w:rsidRPr="004A7EDA" w:rsidRDefault="004A7EDA" w:rsidP="00286AE3">
            <w:pPr>
              <w:pStyle w:val="TableCopy"/>
              <w:rPr>
                <w:lang w:val="en-GB"/>
              </w:rPr>
            </w:pPr>
            <w:r w:rsidRPr="004A7EDA">
              <w:rPr>
                <w:lang w:val="en-GB"/>
              </w:rPr>
              <w:t>582</w:t>
            </w:r>
          </w:p>
        </w:tc>
        <w:tc>
          <w:tcPr>
            <w:tcW w:w="1189"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B2DD617" w14:textId="77777777" w:rsidR="004A7EDA" w:rsidRPr="004A7EDA" w:rsidRDefault="004A7EDA" w:rsidP="00286AE3">
            <w:pPr>
              <w:pStyle w:val="TableCopy"/>
              <w:rPr>
                <w:lang w:val="en-GB"/>
              </w:rPr>
            </w:pPr>
            <w:r w:rsidRPr="004A7EDA">
              <w:rPr>
                <w:lang w:val="en-GB"/>
              </w:rPr>
              <w:t>538</w:t>
            </w:r>
          </w:p>
        </w:tc>
        <w:tc>
          <w:tcPr>
            <w:tcW w:w="1189"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87B2F49" w14:textId="77777777" w:rsidR="004A7EDA" w:rsidRPr="004A7EDA" w:rsidRDefault="004A7EDA" w:rsidP="00286AE3">
            <w:pPr>
              <w:pStyle w:val="TableCopy"/>
              <w:rPr>
                <w:lang w:val="en-GB"/>
              </w:rPr>
            </w:pPr>
            <w:r w:rsidRPr="004A7EDA">
              <w:rPr>
                <w:lang w:val="en-GB"/>
              </w:rPr>
              <w:t>n/a**</w:t>
            </w:r>
          </w:p>
        </w:tc>
      </w:tr>
    </w:tbl>
    <w:p w14:paraId="3CDD66BA" w14:textId="17564A0F" w:rsidR="004A7EDA" w:rsidRPr="004A7EDA" w:rsidRDefault="00903E61" w:rsidP="00903E61">
      <w:pPr>
        <w:pStyle w:val="Bullet"/>
        <w:numPr>
          <w:ilvl w:val="0"/>
          <w:numId w:val="0"/>
        </w:numPr>
        <w:rPr>
          <w:lang w:val="en-GB"/>
        </w:rPr>
      </w:pPr>
      <w:r w:rsidRPr="00903E61">
        <w:rPr>
          <w:i/>
          <w:iCs/>
          <w:lang w:val="en-GB"/>
        </w:rPr>
        <w:t>*</w:t>
      </w:r>
      <w:r>
        <w:rPr>
          <w:lang w:val="en-GB"/>
        </w:rPr>
        <w:t xml:space="preserve"> </w:t>
      </w:r>
      <w:r w:rsidR="004A7EDA" w:rsidRPr="004A7EDA">
        <w:rPr>
          <w:lang w:val="en-GB"/>
        </w:rPr>
        <w:t>This is the latest available data for the year ending March 2021 from the National Visitor Survey and International Visitor Survey</w:t>
      </w:r>
      <w:r>
        <w:rPr>
          <w:lang w:val="en-GB"/>
        </w:rPr>
        <w:t xml:space="preserve"> </w:t>
      </w:r>
      <w:r w:rsidR="004A7EDA" w:rsidRPr="004A7EDA">
        <w:rPr>
          <w:lang w:val="en-GB"/>
        </w:rPr>
        <w:t>(published by Tourism Research Australia, 30 June 2021).</w:t>
      </w:r>
    </w:p>
    <w:p w14:paraId="57B4ED42" w14:textId="174E4958" w:rsidR="00D36705" w:rsidRPr="00286AE3" w:rsidRDefault="004A7EDA" w:rsidP="00286AE3">
      <w:pPr>
        <w:rPr>
          <w:lang w:val="en-GB"/>
        </w:rPr>
      </w:pPr>
      <w:r w:rsidRPr="004A7EDA">
        <w:rPr>
          <w:lang w:val="en-GB"/>
        </w:rPr>
        <w:t>**International visitor data is currently limited to state-wide results.</w:t>
      </w:r>
    </w:p>
    <w:p w14:paraId="4A05B966" w14:textId="674B8833" w:rsidR="004A7EDA" w:rsidRPr="004A7EDA" w:rsidRDefault="004A7EDA" w:rsidP="00903E61">
      <w:pPr>
        <w:pStyle w:val="Heading5"/>
        <w:rPr>
          <w:lang w:val="en-GB"/>
        </w:rPr>
      </w:pPr>
      <w:r w:rsidRPr="004A7EDA">
        <w:rPr>
          <w:lang w:val="en-GB"/>
        </w:rPr>
        <w:t>Figure 15: Number of domestic overnight visitors</w:t>
      </w:r>
    </w:p>
    <w:p w14:paraId="58A64EC0" w14:textId="2A0B55E2" w:rsidR="004A7EDA" w:rsidRPr="004A7EDA" w:rsidRDefault="00780F3C" w:rsidP="004A7EDA">
      <w:pPr>
        <w:rPr>
          <w:lang w:val="en-GB"/>
        </w:rPr>
      </w:pPr>
      <w:r>
        <w:rPr>
          <w:noProof/>
          <w:lang w:val="en-GB"/>
        </w:rPr>
        <w:drawing>
          <wp:inline distT="0" distB="0" distL="0" distR="0" wp14:anchorId="0FEA80F7" wp14:editId="7B66E63D">
            <wp:extent cx="2894815" cy="1755058"/>
            <wp:effectExtent l="0" t="0" r="0" b="0"/>
            <wp:docPr id="15" name="Picture 15" descr="Chart&#10;&#10;Number of domestic overnight visitors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Number of domestic overnight visitors 2017-2021"/>
                    <pic:cNvPicPr/>
                  </pic:nvPicPr>
                  <pic:blipFill rotWithShape="1">
                    <a:blip r:embed="rId26"/>
                    <a:srcRect t="4421" b="25411"/>
                    <a:stretch/>
                  </pic:blipFill>
                  <pic:spPr bwMode="auto">
                    <a:xfrm>
                      <a:off x="0" y="0"/>
                      <a:ext cx="2895600" cy="1755534"/>
                    </a:xfrm>
                    <a:prstGeom prst="rect">
                      <a:avLst/>
                    </a:prstGeom>
                    <a:ln>
                      <a:noFill/>
                    </a:ln>
                    <a:extLst>
                      <a:ext uri="{53640926-AAD7-44D8-BBD7-CCE9431645EC}">
                        <a14:shadowObscured xmlns:a14="http://schemas.microsoft.com/office/drawing/2010/main"/>
                      </a:ext>
                    </a:extLst>
                  </pic:spPr>
                </pic:pic>
              </a:graphicData>
            </a:graphic>
          </wp:inline>
        </w:drawing>
      </w:r>
    </w:p>
    <w:p w14:paraId="3EA02A04" w14:textId="77777777" w:rsidR="004A7EDA" w:rsidRPr="004A7EDA" w:rsidRDefault="004A7EDA" w:rsidP="00780F3C">
      <w:pPr>
        <w:pStyle w:val="Heading5"/>
        <w:rPr>
          <w:lang w:val="en-GB"/>
        </w:rPr>
      </w:pPr>
      <w:r w:rsidRPr="004A7EDA">
        <w:rPr>
          <w:lang w:val="en-GB"/>
        </w:rPr>
        <w:t>Figure 16: Number of international visitors</w:t>
      </w:r>
    </w:p>
    <w:p w14:paraId="2178A26A" w14:textId="57306F13" w:rsidR="004A7EDA" w:rsidRPr="004A7EDA" w:rsidRDefault="00780F3C" w:rsidP="004A7EDA">
      <w:pPr>
        <w:rPr>
          <w:lang w:val="en-GB"/>
        </w:rPr>
      </w:pPr>
      <w:r>
        <w:rPr>
          <w:noProof/>
          <w:lang w:val="en-GB"/>
        </w:rPr>
        <w:drawing>
          <wp:inline distT="0" distB="0" distL="0" distR="0" wp14:anchorId="782209DC" wp14:editId="733F8AF0">
            <wp:extent cx="2894330" cy="1784555"/>
            <wp:effectExtent l="0" t="0" r="0" b="0"/>
            <wp:docPr id="16" name="Picture 16" descr="Chart&#10;&#10;Number of international visitors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Number of international visitors 2017-2021"/>
                    <pic:cNvPicPr/>
                  </pic:nvPicPr>
                  <pic:blipFill rotWithShape="1">
                    <a:blip r:embed="rId27"/>
                    <a:srcRect t="3244" b="25398"/>
                    <a:stretch/>
                  </pic:blipFill>
                  <pic:spPr bwMode="auto">
                    <a:xfrm>
                      <a:off x="0" y="0"/>
                      <a:ext cx="2895600" cy="1785338"/>
                    </a:xfrm>
                    <a:prstGeom prst="rect">
                      <a:avLst/>
                    </a:prstGeom>
                    <a:ln>
                      <a:noFill/>
                    </a:ln>
                    <a:extLst>
                      <a:ext uri="{53640926-AAD7-44D8-BBD7-CCE9431645EC}">
                        <a14:shadowObscured xmlns:a14="http://schemas.microsoft.com/office/drawing/2010/main"/>
                      </a:ext>
                    </a:extLst>
                  </pic:spPr>
                </pic:pic>
              </a:graphicData>
            </a:graphic>
          </wp:inline>
        </w:drawing>
      </w:r>
    </w:p>
    <w:p w14:paraId="68180750" w14:textId="2ED74470" w:rsidR="004A7EDA" w:rsidRPr="004A7EDA" w:rsidRDefault="004A7EDA" w:rsidP="00780F3C">
      <w:pPr>
        <w:pStyle w:val="Heading5"/>
        <w:rPr>
          <w:lang w:val="en-GB"/>
        </w:rPr>
      </w:pPr>
      <w:r w:rsidRPr="004A7EDA">
        <w:rPr>
          <w:lang w:val="en-GB"/>
        </w:rPr>
        <w:t>Figure 17: Visitor expenditure:</w:t>
      </w:r>
      <w:r w:rsidR="00780F3C">
        <w:rPr>
          <w:lang w:val="en-GB"/>
        </w:rPr>
        <w:t xml:space="preserve"> </w:t>
      </w:r>
      <w:r w:rsidRPr="004A7EDA">
        <w:rPr>
          <w:lang w:val="en-GB"/>
        </w:rPr>
        <w:t>domestic</w:t>
      </w:r>
    </w:p>
    <w:p w14:paraId="7CDD6AF7" w14:textId="2B5B691F" w:rsidR="004A7EDA" w:rsidRPr="004A7EDA" w:rsidRDefault="00780F3C" w:rsidP="004A7EDA">
      <w:pPr>
        <w:rPr>
          <w:lang w:val="en-GB"/>
        </w:rPr>
      </w:pPr>
      <w:r>
        <w:rPr>
          <w:noProof/>
          <w:lang w:val="en-GB"/>
        </w:rPr>
        <w:lastRenderedPageBreak/>
        <w:drawing>
          <wp:inline distT="0" distB="0" distL="0" distR="0" wp14:anchorId="6CDC982F" wp14:editId="30419964">
            <wp:extent cx="2894330" cy="1769421"/>
            <wp:effectExtent l="0" t="0" r="0" b="0"/>
            <wp:docPr id="17" name="Picture 17" descr="Chart&#10;&#10;Visitor expenditure: domestic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10;&#10;Visitor expenditure: domestic 2017-2021"/>
                    <pic:cNvPicPr/>
                  </pic:nvPicPr>
                  <pic:blipFill rotWithShape="1">
                    <a:blip r:embed="rId28"/>
                    <a:srcRect t="3334" b="25912"/>
                    <a:stretch/>
                  </pic:blipFill>
                  <pic:spPr bwMode="auto">
                    <a:xfrm>
                      <a:off x="0" y="0"/>
                      <a:ext cx="2895600" cy="1770197"/>
                    </a:xfrm>
                    <a:prstGeom prst="rect">
                      <a:avLst/>
                    </a:prstGeom>
                    <a:ln>
                      <a:noFill/>
                    </a:ln>
                    <a:extLst>
                      <a:ext uri="{53640926-AAD7-44D8-BBD7-CCE9431645EC}">
                        <a14:shadowObscured xmlns:a14="http://schemas.microsoft.com/office/drawing/2010/main"/>
                      </a:ext>
                    </a:extLst>
                  </pic:spPr>
                </pic:pic>
              </a:graphicData>
            </a:graphic>
          </wp:inline>
        </w:drawing>
      </w:r>
    </w:p>
    <w:p w14:paraId="555D7CF1" w14:textId="1C0137F4" w:rsidR="004A7EDA" w:rsidRPr="004A7EDA" w:rsidRDefault="004A7EDA" w:rsidP="00780F3C">
      <w:pPr>
        <w:pStyle w:val="Heading5"/>
        <w:rPr>
          <w:lang w:val="en-GB"/>
        </w:rPr>
      </w:pPr>
      <w:r w:rsidRPr="004A7EDA">
        <w:rPr>
          <w:lang w:val="en-GB"/>
        </w:rPr>
        <w:t>Figure 18: Visitor expenditure:</w:t>
      </w:r>
      <w:r w:rsidR="00780F3C">
        <w:rPr>
          <w:lang w:val="en-GB"/>
        </w:rPr>
        <w:t xml:space="preserve"> </w:t>
      </w:r>
      <w:r w:rsidRPr="004A7EDA">
        <w:rPr>
          <w:lang w:val="en-GB"/>
        </w:rPr>
        <w:t xml:space="preserve">international </w:t>
      </w:r>
    </w:p>
    <w:p w14:paraId="7E8F0316" w14:textId="6BC584B7" w:rsidR="004A7EDA" w:rsidRPr="004A7EDA" w:rsidRDefault="00780F3C" w:rsidP="004A7EDA">
      <w:pPr>
        <w:rPr>
          <w:lang w:val="en-GB"/>
        </w:rPr>
      </w:pPr>
      <w:r>
        <w:rPr>
          <w:noProof/>
          <w:lang w:val="en-GB"/>
        </w:rPr>
        <w:drawing>
          <wp:inline distT="0" distB="0" distL="0" distR="0" wp14:anchorId="13815286" wp14:editId="5E3EF6EB">
            <wp:extent cx="2894297" cy="1755058"/>
            <wp:effectExtent l="0" t="0" r="0" b="0"/>
            <wp:docPr id="20" name="Picture 20" descr="Chart&#10;&#10;Visitor expenditure: international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10;&#10;Visitor expenditure: international  2017-2021"/>
                    <pic:cNvPicPr/>
                  </pic:nvPicPr>
                  <pic:blipFill rotWithShape="1">
                    <a:blip r:embed="rId29"/>
                    <a:srcRect t="3539" b="26281"/>
                    <a:stretch/>
                  </pic:blipFill>
                  <pic:spPr bwMode="auto">
                    <a:xfrm>
                      <a:off x="0" y="0"/>
                      <a:ext cx="2895600" cy="1755848"/>
                    </a:xfrm>
                    <a:prstGeom prst="rect">
                      <a:avLst/>
                    </a:prstGeom>
                    <a:ln>
                      <a:noFill/>
                    </a:ln>
                    <a:extLst>
                      <a:ext uri="{53640926-AAD7-44D8-BBD7-CCE9431645EC}">
                        <a14:shadowObscured xmlns:a14="http://schemas.microsoft.com/office/drawing/2010/main"/>
                      </a:ext>
                    </a:extLst>
                  </pic:spPr>
                </pic:pic>
              </a:graphicData>
            </a:graphic>
          </wp:inline>
        </w:drawing>
      </w:r>
    </w:p>
    <w:p w14:paraId="4F766584" w14:textId="38848031" w:rsidR="004A7EDA" w:rsidRPr="00BE02DE" w:rsidRDefault="004A7EDA" w:rsidP="00BE02DE">
      <w:pPr>
        <w:pStyle w:val="Heading5"/>
        <w:rPr>
          <w:lang w:val="en-GB"/>
        </w:rPr>
      </w:pPr>
      <w:r w:rsidRPr="004A7EDA">
        <w:rPr>
          <w:lang w:val="en-GB"/>
        </w:rPr>
        <w:t>Figure 19: Visitor expenditure:</w:t>
      </w:r>
      <w:r w:rsidR="00780F3C">
        <w:rPr>
          <w:lang w:val="en-GB"/>
        </w:rPr>
        <w:t xml:space="preserve"> </w:t>
      </w:r>
      <w:r w:rsidRPr="004A7EDA">
        <w:rPr>
          <w:lang w:val="en-GB"/>
        </w:rPr>
        <w:t>regional Victoria (domestic)</w:t>
      </w:r>
    </w:p>
    <w:p w14:paraId="0C2162FB" w14:textId="477392B4" w:rsidR="004A7EDA" w:rsidRPr="004A7EDA" w:rsidRDefault="00780F3C" w:rsidP="004A7EDA">
      <w:pPr>
        <w:rPr>
          <w:lang w:val="en-GB"/>
        </w:rPr>
      </w:pPr>
      <w:r>
        <w:rPr>
          <w:noProof/>
          <w:lang w:val="en-GB"/>
        </w:rPr>
        <w:drawing>
          <wp:inline distT="0" distB="0" distL="0" distR="0" wp14:anchorId="37CFE553" wp14:editId="786EDDF1">
            <wp:extent cx="2895600" cy="1959428"/>
            <wp:effectExtent l="0" t="0" r="0" b="0"/>
            <wp:docPr id="19" name="Picture 19" descr="Chart&#10;&#10;Visitor expenditure: regional Victoria (domestic)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10;&#10;Visitor expenditure: regional Victoria (domestic) 2017-2021"/>
                    <pic:cNvPicPr/>
                  </pic:nvPicPr>
                  <pic:blipFill rotWithShape="1">
                    <a:blip r:embed="rId30"/>
                    <a:srcRect b="21682"/>
                    <a:stretch/>
                  </pic:blipFill>
                  <pic:spPr bwMode="auto">
                    <a:xfrm>
                      <a:off x="0" y="0"/>
                      <a:ext cx="2895600" cy="1959428"/>
                    </a:xfrm>
                    <a:prstGeom prst="rect">
                      <a:avLst/>
                    </a:prstGeom>
                    <a:ln>
                      <a:noFill/>
                    </a:ln>
                    <a:extLst>
                      <a:ext uri="{53640926-AAD7-44D8-BBD7-CCE9431645EC}">
                        <a14:shadowObscured xmlns:a14="http://schemas.microsoft.com/office/drawing/2010/main"/>
                      </a:ext>
                    </a:extLst>
                  </pic:spPr>
                </pic:pic>
              </a:graphicData>
            </a:graphic>
          </wp:inline>
        </w:drawing>
      </w:r>
    </w:p>
    <w:p w14:paraId="77DEEB7B" w14:textId="1086D73E" w:rsidR="004A7EDA" w:rsidRPr="004A7EDA" w:rsidRDefault="004A7EDA" w:rsidP="007C6255">
      <w:pPr>
        <w:pStyle w:val="Heading5"/>
        <w:rPr>
          <w:lang w:val="en-GB"/>
        </w:rPr>
      </w:pPr>
      <w:r w:rsidRPr="004A7EDA">
        <w:rPr>
          <w:lang w:val="en-GB"/>
        </w:rPr>
        <w:t>Figure 20: Visitor expenditure:</w:t>
      </w:r>
      <w:r w:rsidR="007C6255">
        <w:rPr>
          <w:lang w:val="en-GB"/>
        </w:rPr>
        <w:t xml:space="preserve"> </w:t>
      </w:r>
      <w:r w:rsidRPr="004A7EDA">
        <w:rPr>
          <w:lang w:val="en-GB"/>
        </w:rPr>
        <w:t>regional Victoria (international)</w:t>
      </w:r>
    </w:p>
    <w:p w14:paraId="3DFCC5A5" w14:textId="171D6426" w:rsidR="004A7EDA" w:rsidRPr="004A7EDA" w:rsidRDefault="00780F3C" w:rsidP="004A7EDA">
      <w:pPr>
        <w:rPr>
          <w:lang w:val="en-GB"/>
        </w:rPr>
      </w:pPr>
      <w:r>
        <w:rPr>
          <w:noProof/>
          <w:lang w:val="en-GB"/>
        </w:rPr>
        <w:drawing>
          <wp:inline distT="0" distB="0" distL="0" distR="0" wp14:anchorId="5D97BB27" wp14:editId="4AF8451B">
            <wp:extent cx="2895600" cy="1959428"/>
            <wp:effectExtent l="0" t="0" r="0" b="0"/>
            <wp:docPr id="18" name="Picture 18" descr="Chart&#10;&#10;Visitor expenditure: regional Victoria (international)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10;&#10;Visitor expenditure: regional Victoria (international) 2017-2021"/>
                    <pic:cNvPicPr/>
                  </pic:nvPicPr>
                  <pic:blipFill rotWithShape="1">
                    <a:blip r:embed="rId31"/>
                    <a:srcRect b="21682"/>
                    <a:stretch/>
                  </pic:blipFill>
                  <pic:spPr bwMode="auto">
                    <a:xfrm>
                      <a:off x="0" y="0"/>
                      <a:ext cx="2895600" cy="1959428"/>
                    </a:xfrm>
                    <a:prstGeom prst="rect">
                      <a:avLst/>
                    </a:prstGeom>
                    <a:ln>
                      <a:noFill/>
                    </a:ln>
                    <a:extLst>
                      <a:ext uri="{53640926-AAD7-44D8-BBD7-CCE9431645EC}">
                        <a14:shadowObscured xmlns:a14="http://schemas.microsoft.com/office/drawing/2010/main"/>
                      </a:ext>
                    </a:extLst>
                  </pic:spPr>
                </pic:pic>
              </a:graphicData>
            </a:graphic>
          </wp:inline>
        </w:drawing>
      </w:r>
    </w:p>
    <w:p w14:paraId="4E712B00" w14:textId="77777777" w:rsidR="004A7EDA" w:rsidRPr="004A7EDA" w:rsidRDefault="004A7EDA" w:rsidP="004A7EDA">
      <w:pPr>
        <w:rPr>
          <w:lang w:val="en-GB"/>
        </w:rPr>
      </w:pPr>
      <w:r w:rsidRPr="004A7EDA">
        <w:rPr>
          <w:lang w:val="en-GB"/>
        </w:rPr>
        <w:t>The COVID-19 pandemic has had a negative impact on Victoria’s tourism sector. As at the year ending March 2021 (latest available data), there were 46.5 million total visitors to and within Victoria; a decline of 51 per cent compared to the previous year. Total tourism expenditure also fell from $31.3 billion to $9.8 billion (international overnight and domestic).</w:t>
      </w:r>
    </w:p>
    <w:p w14:paraId="668B8C9E" w14:textId="1116D7A1" w:rsidR="004A7EDA" w:rsidRPr="004A7EDA" w:rsidRDefault="004A7EDA" w:rsidP="007C6255">
      <w:pPr>
        <w:pStyle w:val="Bullet"/>
        <w:rPr>
          <w:lang w:val="en-GB"/>
        </w:rPr>
      </w:pPr>
      <w:r w:rsidRPr="004A7EDA">
        <w:rPr>
          <w:lang w:val="en-GB"/>
        </w:rPr>
        <w:t>Domestic overnight visitors declined by 53 per cent in the year ending March 2021 compared to the previous year to 13.4 million.</w:t>
      </w:r>
      <w:r w:rsidR="007C6255">
        <w:rPr>
          <w:lang w:val="en-GB"/>
        </w:rPr>
        <w:t xml:space="preserve"> </w:t>
      </w:r>
      <w:r w:rsidRPr="004A7EDA">
        <w:rPr>
          <w:lang w:val="en-GB"/>
        </w:rPr>
        <w:t xml:space="preserve">The rate of decline softened in the March 2021 quarter results but remained below the March 2019 quarter pre-COVID-19 result by 25 per cent. </w:t>
      </w:r>
    </w:p>
    <w:p w14:paraId="129E7FA3" w14:textId="77777777" w:rsidR="004A7EDA" w:rsidRPr="004A7EDA" w:rsidRDefault="004A7EDA" w:rsidP="007C6255">
      <w:pPr>
        <w:pStyle w:val="Bullet"/>
        <w:rPr>
          <w:lang w:val="en-GB"/>
        </w:rPr>
      </w:pPr>
      <w:r w:rsidRPr="004A7EDA">
        <w:rPr>
          <w:lang w:val="en-GB"/>
        </w:rPr>
        <w:lastRenderedPageBreak/>
        <w:t>International overnight spend in Victoria was estimated at just $80 million in the year ending March 2021, representing a year-on-year decline of 99 per cent due to COVID-19 related restrictions on international travel.</w:t>
      </w:r>
    </w:p>
    <w:p w14:paraId="65935BD1" w14:textId="211259F2" w:rsidR="004A7EDA" w:rsidRPr="004A7EDA" w:rsidRDefault="004A7EDA" w:rsidP="004A7EDA">
      <w:pPr>
        <w:rPr>
          <w:lang w:val="en-GB"/>
        </w:rPr>
      </w:pPr>
      <w:r w:rsidRPr="004A7EDA">
        <w:rPr>
          <w:lang w:val="en-GB"/>
        </w:rPr>
        <w:t>The Visitor Economy Recovery and Reform Plan</w:t>
      </w:r>
      <w:r w:rsidR="007C6255">
        <w:rPr>
          <w:lang w:val="en-GB"/>
        </w:rPr>
        <w:t xml:space="preserve"> </w:t>
      </w:r>
      <w:r w:rsidRPr="004A7EDA">
        <w:rPr>
          <w:lang w:val="en-GB"/>
        </w:rPr>
        <w:t xml:space="preserve">is a whole-of-state strategy which aims to achieve $35 billion in Victoria’s annual visitor expenditure alongside a roadmap to support the generation of 300,000 tourism jobs state-wide by June 2024. The plan will strengthen the state’s nation-leading tourism offering through the development of new experiences, </w:t>
      </w:r>
      <w:proofErr w:type="gramStart"/>
      <w:r w:rsidRPr="004A7EDA">
        <w:rPr>
          <w:lang w:val="en-GB"/>
        </w:rPr>
        <w:t>products</w:t>
      </w:r>
      <w:proofErr w:type="gramEnd"/>
      <w:r w:rsidRPr="004A7EDA">
        <w:rPr>
          <w:lang w:val="en-GB"/>
        </w:rPr>
        <w:t xml:space="preserve"> and infrastructure. </w:t>
      </w:r>
    </w:p>
    <w:p w14:paraId="61364554" w14:textId="2D7829CD" w:rsidR="004A7EDA" w:rsidRPr="004A7EDA" w:rsidRDefault="004A7EDA" w:rsidP="004A7EDA">
      <w:pPr>
        <w:rPr>
          <w:lang w:val="en-GB"/>
        </w:rPr>
      </w:pPr>
      <w:r w:rsidRPr="004A7EDA">
        <w:rPr>
          <w:lang w:val="en-GB"/>
        </w:rPr>
        <w:t>The plan is supported by a $633 million investment. Notable announcements as part of the delivery</w:t>
      </w:r>
      <w:r w:rsidR="007C6255">
        <w:rPr>
          <w:lang w:val="en-GB"/>
        </w:rPr>
        <w:t xml:space="preserve"> </w:t>
      </w:r>
      <w:r w:rsidRPr="004A7EDA">
        <w:rPr>
          <w:lang w:val="en-GB"/>
        </w:rPr>
        <w:t xml:space="preserve">of this have included: </w:t>
      </w:r>
    </w:p>
    <w:p w14:paraId="7A0E90A3" w14:textId="77777777" w:rsidR="004A7EDA" w:rsidRPr="004A7EDA" w:rsidRDefault="004A7EDA" w:rsidP="009C6B90">
      <w:pPr>
        <w:pStyle w:val="Bullet"/>
        <w:rPr>
          <w:lang w:val="en-GB"/>
        </w:rPr>
      </w:pPr>
      <w:r w:rsidRPr="004A7EDA">
        <w:rPr>
          <w:lang w:val="en-GB"/>
        </w:rPr>
        <w:t>Thirty projects to be delivered as part of the $46 million Stimulus Round of the Regional Tourism Investment Fund</w:t>
      </w:r>
    </w:p>
    <w:p w14:paraId="1BCFB75A" w14:textId="77777777" w:rsidR="004A7EDA" w:rsidRPr="004A7EDA" w:rsidRDefault="004A7EDA" w:rsidP="009C6B90">
      <w:pPr>
        <w:pStyle w:val="Bullet"/>
        <w:rPr>
          <w:lang w:val="en-GB"/>
        </w:rPr>
      </w:pPr>
      <w:r w:rsidRPr="004A7EDA">
        <w:rPr>
          <w:lang w:val="en-GB"/>
        </w:rPr>
        <w:t>Nineteen tourism flagship projects totalling $120 million to attract more visitors to regional Victoria and activate regions</w:t>
      </w:r>
    </w:p>
    <w:p w14:paraId="0AB9AE2C" w14:textId="6DD7DC0A" w:rsidR="004A7EDA" w:rsidRPr="004A7EDA" w:rsidRDefault="004A7EDA" w:rsidP="009C6B90">
      <w:pPr>
        <w:pStyle w:val="Bullet"/>
        <w:rPr>
          <w:lang w:val="en-GB"/>
        </w:rPr>
      </w:pPr>
      <w:r w:rsidRPr="004A7EDA">
        <w:rPr>
          <w:lang w:val="en-GB"/>
        </w:rPr>
        <w:t>Three rounds of regional travel vouchers</w:t>
      </w:r>
      <w:r w:rsidR="007C6255">
        <w:rPr>
          <w:lang w:val="en-GB"/>
        </w:rPr>
        <w:t xml:space="preserve"> </w:t>
      </w:r>
      <w:r w:rsidRPr="004A7EDA">
        <w:rPr>
          <w:lang w:val="en-GB"/>
        </w:rPr>
        <w:t>and one round of Melbourne travel vouchers</w:t>
      </w:r>
    </w:p>
    <w:p w14:paraId="105B837D" w14:textId="1EB8011A" w:rsidR="004A7EDA" w:rsidRPr="004A7EDA" w:rsidRDefault="004A7EDA" w:rsidP="009C6B90">
      <w:pPr>
        <w:pStyle w:val="Bullet"/>
        <w:rPr>
          <w:lang w:val="en-GB"/>
        </w:rPr>
      </w:pPr>
      <w:r w:rsidRPr="004A7EDA">
        <w:rPr>
          <w:lang w:val="en-GB"/>
        </w:rPr>
        <w:t>Marketing activities throughout 2020–21 to support recovery, delivered by Visit Victoria, including the successful Click for Vic, Stay Close, Go Further</w:t>
      </w:r>
      <w:r w:rsidR="00D36705">
        <w:rPr>
          <w:lang w:val="en-GB"/>
        </w:rPr>
        <w:t xml:space="preserve"> </w:t>
      </w:r>
      <w:r w:rsidRPr="004A7EDA">
        <w:rPr>
          <w:lang w:val="en-GB"/>
        </w:rPr>
        <w:t>and Visit Melbourne – Get Set campaigns.</w:t>
      </w:r>
    </w:p>
    <w:p w14:paraId="42B87B92" w14:textId="77777777" w:rsidR="004A7EDA" w:rsidRPr="004A7EDA" w:rsidRDefault="004A7EDA" w:rsidP="004A7EDA">
      <w:pPr>
        <w:rPr>
          <w:lang w:val="en-GB"/>
        </w:rPr>
      </w:pPr>
      <w:r w:rsidRPr="004A7EDA">
        <w:rPr>
          <w:lang w:val="en-GB"/>
        </w:rPr>
        <w:t>The department supported the Regional Tourism Boards and the Victorian Tourism Industry Council to develop business mentoring and crisis preparedness support programs.</w:t>
      </w:r>
    </w:p>
    <w:p w14:paraId="3A696861" w14:textId="77777777" w:rsidR="004A7EDA" w:rsidRPr="004A7EDA" w:rsidRDefault="004A7EDA" w:rsidP="004A7EDA">
      <w:pPr>
        <w:rPr>
          <w:lang w:val="en-GB"/>
        </w:rPr>
      </w:pPr>
      <w:r w:rsidRPr="004A7EDA">
        <w:rPr>
          <w:lang w:val="en-GB"/>
        </w:rPr>
        <w:t xml:space="preserve">The department continued to work with Visit Victoria and the Melbourne Convention Bureau (MCB) to secure major and business events for Victoria, including </w:t>
      </w:r>
      <w:proofErr w:type="spellStart"/>
      <w:r w:rsidRPr="004A7EDA">
        <w:rPr>
          <w:lang w:val="en-GB"/>
        </w:rPr>
        <w:t>SpineWeek</w:t>
      </w:r>
      <w:proofErr w:type="spellEnd"/>
      <w:r w:rsidRPr="004A7EDA">
        <w:rPr>
          <w:lang w:val="en-GB"/>
        </w:rPr>
        <w:t xml:space="preserve"> 2023, International Mass Spectrometry Conference 2024 and the International Geographical Congress 2028.</w:t>
      </w:r>
    </w:p>
    <w:p w14:paraId="78D630FE" w14:textId="01B808E2" w:rsidR="004A7EDA" w:rsidRPr="004A7EDA" w:rsidRDefault="004A7EDA" w:rsidP="004A7EDA">
      <w:pPr>
        <w:rPr>
          <w:lang w:val="en-GB"/>
        </w:rPr>
      </w:pPr>
      <w:r w:rsidRPr="004A7EDA">
        <w:rPr>
          <w:lang w:val="en-GB"/>
        </w:rPr>
        <w:t>The department supported industry and portfolio entities through the COVID-19 pandemic. Agencies including Visit Victoria, Melbourne Convention and Exhibition Trust, Emerald Tourist Railway Board,</w:t>
      </w:r>
      <w:r w:rsidR="009C6B90">
        <w:rPr>
          <w:lang w:val="en-GB"/>
        </w:rPr>
        <w:t xml:space="preserve"> </w:t>
      </w:r>
      <w:r w:rsidRPr="004A7EDA">
        <w:rPr>
          <w:lang w:val="en-GB"/>
        </w:rPr>
        <w:t>and Australian Grand Prix Corporation were assisted in adapting operations in response to COVID-19.</w:t>
      </w:r>
    </w:p>
    <w:p w14:paraId="6370D103" w14:textId="77777777" w:rsidR="004A7EDA" w:rsidRPr="004A7EDA" w:rsidRDefault="004A7EDA" w:rsidP="009C6B90">
      <w:pPr>
        <w:pStyle w:val="Heading4"/>
        <w:rPr>
          <w:lang w:val="en-GB"/>
        </w:rPr>
      </w:pPr>
      <w:r w:rsidRPr="004A7EDA">
        <w:rPr>
          <w:lang w:val="en-GB"/>
        </w:rPr>
        <w:t>Indicator: Increase rates of community engagement, including through participation in sport and recreation</w:t>
      </w:r>
    </w:p>
    <w:p w14:paraId="7A0F52E0" w14:textId="18D16735" w:rsidR="004A7EDA" w:rsidRPr="004A7EDA" w:rsidRDefault="004A7EDA" w:rsidP="009C6B90">
      <w:pPr>
        <w:pStyle w:val="Heading5"/>
        <w:rPr>
          <w:lang w:val="en-GB"/>
        </w:rPr>
      </w:pPr>
      <w:r w:rsidRPr="004A7EDA">
        <w:rPr>
          <w:lang w:val="en-GB"/>
        </w:rPr>
        <w:t>Table 19: Increase rates of community engagement, including through participation</w:t>
      </w:r>
      <w:r w:rsidR="009C6B90">
        <w:rPr>
          <w:lang w:val="en-GB"/>
        </w:rPr>
        <w:t xml:space="preserve"> </w:t>
      </w:r>
      <w:r w:rsidRPr="004A7EDA">
        <w:rPr>
          <w:lang w:val="en-GB"/>
        </w:rPr>
        <w:t>in sport and recreation</w:t>
      </w:r>
    </w:p>
    <w:tbl>
      <w:tblPr>
        <w:tblW w:w="0" w:type="auto"/>
        <w:tblInd w:w="28" w:type="dxa"/>
        <w:tblLayout w:type="fixed"/>
        <w:tblCellMar>
          <w:left w:w="0" w:type="dxa"/>
          <w:right w:w="0" w:type="dxa"/>
        </w:tblCellMar>
        <w:tblLook w:val="0000" w:firstRow="0" w:lastRow="0" w:firstColumn="0" w:lastColumn="0" w:noHBand="0" w:noVBand="0"/>
      </w:tblPr>
      <w:tblGrid>
        <w:gridCol w:w="5102"/>
        <w:gridCol w:w="1134"/>
        <w:gridCol w:w="1134"/>
        <w:gridCol w:w="1134"/>
        <w:gridCol w:w="1134"/>
      </w:tblGrid>
      <w:tr w:rsidR="004A7EDA" w:rsidRPr="004A7EDA" w14:paraId="57A5DB4A" w14:textId="77777777">
        <w:trPr>
          <w:trHeight w:val="113"/>
        </w:trPr>
        <w:tc>
          <w:tcPr>
            <w:tcW w:w="510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8EB6611" w14:textId="77777777" w:rsidR="004A7EDA" w:rsidRPr="004A7EDA" w:rsidRDefault="004A7EDA" w:rsidP="00286AE3">
            <w:pPr>
              <w:pStyle w:val="TableHeading"/>
              <w:rPr>
                <w:lang w:val="en-GB"/>
              </w:rPr>
            </w:pPr>
            <w:r w:rsidRPr="004A7EDA">
              <w:rPr>
                <w:lang w:val="en-GB"/>
              </w:rPr>
              <w:t>Measure (unit of measure)</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9B77C68" w14:textId="77777777" w:rsidR="004A7EDA" w:rsidRPr="004A7EDA" w:rsidRDefault="004A7EDA" w:rsidP="00286AE3">
            <w:pPr>
              <w:pStyle w:val="TableHeading"/>
              <w:rPr>
                <w:lang w:val="en-GB"/>
              </w:rPr>
            </w:pPr>
            <w:r w:rsidRPr="004A7EDA">
              <w:rPr>
                <w:lang w:val="en-GB"/>
              </w:rPr>
              <w:t>2017–18</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F2C80A4" w14:textId="77777777" w:rsidR="004A7EDA" w:rsidRPr="004A7EDA" w:rsidRDefault="004A7EDA" w:rsidP="00286AE3">
            <w:pPr>
              <w:pStyle w:val="TableHeading"/>
              <w:rPr>
                <w:lang w:val="en-GB"/>
              </w:rPr>
            </w:pPr>
            <w:r w:rsidRPr="004A7EDA">
              <w:rPr>
                <w:lang w:val="en-GB"/>
              </w:rPr>
              <w:t>2018–19</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94FEBC4" w14:textId="77777777" w:rsidR="004A7EDA" w:rsidRPr="004A7EDA" w:rsidRDefault="004A7EDA" w:rsidP="00286AE3">
            <w:pPr>
              <w:pStyle w:val="TableHeading"/>
              <w:rPr>
                <w:lang w:val="en-GB"/>
              </w:rPr>
            </w:pPr>
            <w:r w:rsidRPr="004A7EDA">
              <w:rPr>
                <w:lang w:val="en-GB"/>
              </w:rPr>
              <w:t>2019–20</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A14B664" w14:textId="77777777" w:rsidR="004A7EDA" w:rsidRPr="004A7EDA" w:rsidRDefault="004A7EDA" w:rsidP="00286AE3">
            <w:pPr>
              <w:pStyle w:val="TableHeading"/>
              <w:rPr>
                <w:lang w:val="en-GB"/>
              </w:rPr>
            </w:pPr>
            <w:r w:rsidRPr="004A7EDA">
              <w:rPr>
                <w:lang w:val="en-GB"/>
              </w:rPr>
              <w:t>2020–21</w:t>
            </w:r>
          </w:p>
        </w:tc>
      </w:tr>
      <w:tr w:rsidR="004A7EDA" w:rsidRPr="004A7EDA" w14:paraId="10D89D51" w14:textId="77777777">
        <w:trPr>
          <w:trHeight w:val="113"/>
        </w:trPr>
        <w:tc>
          <w:tcPr>
            <w:tcW w:w="510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0DA923B" w14:textId="77777777" w:rsidR="004A7EDA" w:rsidRPr="004A7EDA" w:rsidRDefault="004A7EDA" w:rsidP="00286AE3">
            <w:pPr>
              <w:pStyle w:val="TableCopy"/>
              <w:rPr>
                <w:lang w:val="en-GB"/>
              </w:rPr>
            </w:pPr>
            <w:r w:rsidRPr="004A7EDA">
              <w:rPr>
                <w:lang w:val="en-GB"/>
              </w:rPr>
              <w:t>Percentage of adult Victorians participating in sport</w:t>
            </w:r>
            <w:r w:rsidRPr="004A7EDA">
              <w:rPr>
                <w:lang w:val="en-GB"/>
              </w:rPr>
              <w:br/>
              <w:t>at least once per year (per cent)</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C28ADF0" w14:textId="77777777" w:rsidR="004A7EDA" w:rsidRPr="004A7EDA" w:rsidRDefault="004A7EDA" w:rsidP="00286AE3">
            <w:pPr>
              <w:pStyle w:val="TableCopy"/>
              <w:rPr>
                <w:lang w:val="en-GB"/>
              </w:rPr>
            </w:pPr>
            <w:r w:rsidRPr="004A7EDA">
              <w:rPr>
                <w:lang w:val="en-GB"/>
              </w:rPr>
              <w:t>90.9</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FA5951F" w14:textId="77777777" w:rsidR="004A7EDA" w:rsidRPr="004A7EDA" w:rsidRDefault="004A7EDA" w:rsidP="00286AE3">
            <w:pPr>
              <w:pStyle w:val="TableCopy"/>
              <w:rPr>
                <w:lang w:val="en-GB"/>
              </w:rPr>
            </w:pPr>
            <w:r w:rsidRPr="004A7EDA">
              <w:rPr>
                <w:lang w:val="en-GB"/>
              </w:rPr>
              <w:t>91.6</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E56A44B" w14:textId="77777777" w:rsidR="004A7EDA" w:rsidRPr="004A7EDA" w:rsidRDefault="004A7EDA" w:rsidP="00286AE3">
            <w:pPr>
              <w:pStyle w:val="TableCopy"/>
              <w:rPr>
                <w:lang w:val="en-GB"/>
              </w:rPr>
            </w:pPr>
            <w:r w:rsidRPr="004A7EDA">
              <w:rPr>
                <w:lang w:val="en-GB"/>
              </w:rPr>
              <w:t>91.2</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CE9CFE0" w14:textId="77777777" w:rsidR="004A7EDA" w:rsidRPr="004A7EDA" w:rsidRDefault="004A7EDA" w:rsidP="00286AE3">
            <w:pPr>
              <w:pStyle w:val="TableCopy"/>
              <w:rPr>
                <w:lang w:val="en-GB"/>
              </w:rPr>
            </w:pPr>
            <w:r w:rsidRPr="004A7EDA">
              <w:rPr>
                <w:lang w:val="en-GB"/>
              </w:rPr>
              <w:t>90.5*</w:t>
            </w:r>
          </w:p>
        </w:tc>
      </w:tr>
    </w:tbl>
    <w:p w14:paraId="6F736A5E" w14:textId="77777777" w:rsidR="004A7EDA" w:rsidRPr="004A7EDA" w:rsidRDefault="004A7EDA" w:rsidP="00286AE3">
      <w:pPr>
        <w:rPr>
          <w:lang w:val="en-GB"/>
        </w:rPr>
      </w:pPr>
      <w:r w:rsidRPr="004A7EDA">
        <w:rPr>
          <w:lang w:val="en-GB"/>
        </w:rPr>
        <w:t>*This figure is for six months only</w:t>
      </w:r>
    </w:p>
    <w:p w14:paraId="39C4883E" w14:textId="7322DBC2" w:rsidR="004A7EDA" w:rsidRPr="004A7EDA" w:rsidRDefault="004A7EDA" w:rsidP="009C6B90">
      <w:pPr>
        <w:pStyle w:val="Heading5"/>
        <w:rPr>
          <w:lang w:val="en-GB"/>
        </w:rPr>
      </w:pPr>
      <w:r w:rsidRPr="004A7EDA">
        <w:rPr>
          <w:lang w:val="en-GB"/>
        </w:rPr>
        <w:t>Figure 21: Percentage of adult Victorians</w:t>
      </w:r>
      <w:r w:rsidR="009C6B90">
        <w:rPr>
          <w:lang w:val="en-GB"/>
        </w:rPr>
        <w:t xml:space="preserve"> </w:t>
      </w:r>
      <w:r w:rsidRPr="004A7EDA">
        <w:rPr>
          <w:lang w:val="en-GB"/>
        </w:rPr>
        <w:t>participating in sport at least once per year</w:t>
      </w:r>
    </w:p>
    <w:p w14:paraId="43AB822C" w14:textId="4447AE86" w:rsidR="004A7EDA" w:rsidRPr="004A7EDA" w:rsidRDefault="009C6B90" w:rsidP="004A7EDA">
      <w:pPr>
        <w:rPr>
          <w:lang w:val="en-GB"/>
        </w:rPr>
      </w:pPr>
      <w:r>
        <w:rPr>
          <w:noProof/>
          <w:lang w:val="en-GB"/>
        </w:rPr>
        <w:drawing>
          <wp:inline distT="0" distB="0" distL="0" distR="0" wp14:anchorId="0CFF1277" wp14:editId="10E8CF7A">
            <wp:extent cx="2895600" cy="1959428"/>
            <wp:effectExtent l="0" t="0" r="0" b="0"/>
            <wp:docPr id="21" name="Picture 21" descr="Chart&#10;&#10;Percentage of adult Victorians participating in sport at least once per year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Percentage of adult Victorians participating in sport at least once per year 2017-2021"/>
                    <pic:cNvPicPr/>
                  </pic:nvPicPr>
                  <pic:blipFill rotWithShape="1">
                    <a:blip r:embed="rId32"/>
                    <a:srcRect b="21682"/>
                    <a:stretch/>
                  </pic:blipFill>
                  <pic:spPr bwMode="auto">
                    <a:xfrm>
                      <a:off x="0" y="0"/>
                      <a:ext cx="2895600" cy="1959428"/>
                    </a:xfrm>
                    <a:prstGeom prst="rect">
                      <a:avLst/>
                    </a:prstGeom>
                    <a:ln>
                      <a:noFill/>
                    </a:ln>
                    <a:extLst>
                      <a:ext uri="{53640926-AAD7-44D8-BBD7-CCE9431645EC}">
                        <a14:shadowObscured xmlns:a14="http://schemas.microsoft.com/office/drawing/2010/main"/>
                      </a:ext>
                    </a:extLst>
                  </pic:spPr>
                </pic:pic>
              </a:graphicData>
            </a:graphic>
          </wp:inline>
        </w:drawing>
      </w:r>
    </w:p>
    <w:p w14:paraId="132129C4" w14:textId="77777777" w:rsidR="004A7EDA" w:rsidRPr="004A7EDA" w:rsidRDefault="004A7EDA" w:rsidP="009C6B90">
      <w:pPr>
        <w:pStyle w:val="Heading5"/>
        <w:rPr>
          <w:lang w:val="en-GB"/>
        </w:rPr>
      </w:pPr>
      <w:r w:rsidRPr="004A7EDA">
        <w:rPr>
          <w:lang w:val="en-GB"/>
        </w:rPr>
        <w:t>Participation</w:t>
      </w:r>
    </w:p>
    <w:p w14:paraId="7A4C05D6" w14:textId="2F4B28F7" w:rsidR="004A7EDA" w:rsidRPr="004A7EDA" w:rsidRDefault="004A7EDA" w:rsidP="004A7EDA">
      <w:pPr>
        <w:rPr>
          <w:lang w:val="en-GB"/>
        </w:rPr>
      </w:pPr>
      <w:r w:rsidRPr="004A7EDA">
        <w:rPr>
          <w:lang w:val="en-GB"/>
        </w:rPr>
        <w:t>Public health restrictions due to the COVID-19 pandemic have impacted sport and recreation participation rates in 2019–20 and 2020–21.</w:t>
      </w:r>
      <w:r w:rsidR="009C6B90">
        <w:rPr>
          <w:lang w:val="en-GB"/>
        </w:rPr>
        <w:t xml:space="preserve"> </w:t>
      </w:r>
      <w:r w:rsidRPr="004A7EDA">
        <w:rPr>
          <w:lang w:val="en-GB"/>
        </w:rPr>
        <w:t>Many sports seasons were cancelled in 2020 due</w:t>
      </w:r>
      <w:r w:rsidR="009C6B90">
        <w:rPr>
          <w:lang w:val="en-GB"/>
        </w:rPr>
        <w:t xml:space="preserve"> </w:t>
      </w:r>
      <w:r w:rsidRPr="004A7EDA">
        <w:rPr>
          <w:lang w:val="en-GB"/>
        </w:rPr>
        <w:t>to the pandemic, impacting Victoria’s participation in sport during this period. The half year figure</w:t>
      </w:r>
      <w:r w:rsidR="009C6B90">
        <w:rPr>
          <w:lang w:val="en-GB"/>
        </w:rPr>
        <w:t xml:space="preserve"> </w:t>
      </w:r>
      <w:r w:rsidRPr="004A7EDA">
        <w:rPr>
          <w:lang w:val="en-GB"/>
        </w:rPr>
        <w:t>of 90.5 per cent to December 2020 marks a small decline from the previous half year figure</w:t>
      </w:r>
      <w:r w:rsidR="009C6B90">
        <w:rPr>
          <w:lang w:val="en-GB"/>
        </w:rPr>
        <w:t xml:space="preserve"> </w:t>
      </w:r>
      <w:r w:rsidRPr="004A7EDA">
        <w:rPr>
          <w:lang w:val="en-GB"/>
        </w:rPr>
        <w:t xml:space="preserve">of 91.3 per cent in December 2019. </w:t>
      </w:r>
    </w:p>
    <w:p w14:paraId="5188E770" w14:textId="77777777" w:rsidR="004A7EDA" w:rsidRPr="004A7EDA" w:rsidRDefault="004A7EDA" w:rsidP="004A7EDA">
      <w:pPr>
        <w:rPr>
          <w:lang w:val="en-GB"/>
        </w:rPr>
      </w:pPr>
      <w:r w:rsidRPr="004A7EDA">
        <w:rPr>
          <w:lang w:val="en-GB"/>
        </w:rPr>
        <w:t xml:space="preserve">Support has been provided through the COVID-19 Short-Term Survival Program and the Sporting Club Grants program, to support the operational viability of community sport and active recreation organisations impacted by the pandemic. This support has helped secure the financial viability of the sector and ensure it is able to continue to support Victorians participate in sport. </w:t>
      </w:r>
    </w:p>
    <w:p w14:paraId="0C23A7E8" w14:textId="5CC6452E" w:rsidR="004A7EDA" w:rsidRPr="004A7EDA" w:rsidRDefault="004A7EDA" w:rsidP="004A7EDA">
      <w:pPr>
        <w:rPr>
          <w:lang w:val="en-GB"/>
        </w:rPr>
      </w:pPr>
      <w:r w:rsidRPr="004A7EDA">
        <w:rPr>
          <w:lang w:val="en-GB"/>
        </w:rPr>
        <w:lastRenderedPageBreak/>
        <w:t>The government is continuing to support a strong sport sector through the Together More Active and Change Our Game programs, which help to develop sector capability and increase participation by enhancing the equity, diversity and inclusiveness</w:t>
      </w:r>
      <w:r w:rsidR="008A0BE8">
        <w:rPr>
          <w:lang w:val="en-GB"/>
        </w:rPr>
        <w:t xml:space="preserve"> </w:t>
      </w:r>
      <w:r w:rsidRPr="004A7EDA">
        <w:rPr>
          <w:lang w:val="en-GB"/>
        </w:rPr>
        <w:t>of sport and recreation.</w:t>
      </w:r>
    </w:p>
    <w:p w14:paraId="78C5F061" w14:textId="25D5F320" w:rsidR="004A7EDA" w:rsidRPr="004A7EDA" w:rsidRDefault="004A7EDA" w:rsidP="004A7EDA">
      <w:pPr>
        <w:rPr>
          <w:lang w:val="en-GB"/>
        </w:rPr>
      </w:pPr>
      <w:r w:rsidRPr="004A7EDA">
        <w:rPr>
          <w:lang w:val="en-GB"/>
        </w:rPr>
        <w:t>Australia’s highly successful Tokyo 2020 Summer Olympic Games campaign comprised 114 Victorians in the Olympic team (23 per cent of the national team) and 45 Victorians in the Paralympic team</w:t>
      </w:r>
      <w:r w:rsidR="008A0BE8">
        <w:rPr>
          <w:lang w:val="en-GB"/>
        </w:rPr>
        <w:t xml:space="preserve"> </w:t>
      </w:r>
      <w:r w:rsidRPr="004A7EDA">
        <w:rPr>
          <w:lang w:val="en-GB"/>
        </w:rPr>
        <w:t>(25 per cent of the national team). This included</w:t>
      </w:r>
      <w:r w:rsidR="008A0BE8">
        <w:rPr>
          <w:lang w:val="en-GB"/>
        </w:rPr>
        <w:t xml:space="preserve"> </w:t>
      </w:r>
      <w:r w:rsidRPr="004A7EDA">
        <w:rPr>
          <w:lang w:val="en-GB"/>
        </w:rPr>
        <w:t xml:space="preserve">82 Victorian Institute of Sport (VIS) scholarship holders. A further eight VIS scholarship holders are in preparation for the Beijing 2022 Winter Olympic and Paralympic Games. </w:t>
      </w:r>
    </w:p>
    <w:p w14:paraId="5CA3BE9C" w14:textId="77777777" w:rsidR="004A7EDA" w:rsidRPr="004A7EDA" w:rsidRDefault="004A7EDA" w:rsidP="004A7EDA">
      <w:pPr>
        <w:rPr>
          <w:lang w:val="en-GB"/>
        </w:rPr>
      </w:pPr>
      <w:r w:rsidRPr="004A7EDA">
        <w:rPr>
          <w:lang w:val="en-GB"/>
        </w:rPr>
        <w:t>Our high-performance athletes, coaches and support staff benefit from government’s investment in the world class network of 44 state sport facilities that support 51 professional teams. There are 96 recognised national sporting organisations of which 32 are based in Victoria.</w:t>
      </w:r>
    </w:p>
    <w:p w14:paraId="10D44CCD" w14:textId="77777777" w:rsidR="004A7EDA" w:rsidRPr="004A7EDA" w:rsidRDefault="004A7EDA" w:rsidP="004A7EDA">
      <w:pPr>
        <w:rPr>
          <w:lang w:val="en-GB"/>
        </w:rPr>
      </w:pPr>
      <w:r w:rsidRPr="004A7EDA">
        <w:rPr>
          <w:lang w:val="en-GB"/>
        </w:rPr>
        <w:t>Many of Victoria’s professional sporting teams enjoyed success across major domestic competitions throughout 2020–21, including those that relocated interstate under COVID-19 restrictions. Championship winning teams included Melbourne Vixens (Suncorp Super Netball), Melbourne Victory (W-League), Southside Flyers (Women’s National Basketball League), Melbourne City (A-League), Melbourne Storm (National Rugby League), Richmond Football Club (Australian Football League), Melbourne Aces (Australian Baseball League), and Melbourne United (National Basketball League).</w:t>
      </w:r>
      <w:r w:rsidRPr="004A7EDA">
        <w:rPr>
          <w:lang w:val="en-GB"/>
        </w:rPr>
        <w:br/>
        <w:t>All teams have provided opportunities for Victorians to reach their potential – especially those that are traditionally under-represented.</w:t>
      </w:r>
    </w:p>
    <w:p w14:paraId="3B931E0E" w14:textId="77777777" w:rsidR="004A7EDA" w:rsidRPr="004A7EDA" w:rsidRDefault="004A7EDA" w:rsidP="008A0BE8">
      <w:pPr>
        <w:pStyle w:val="Heading5"/>
        <w:rPr>
          <w:lang w:val="en-GB"/>
        </w:rPr>
      </w:pPr>
      <w:r w:rsidRPr="008A0BE8">
        <w:t>Infrastructure</w:t>
      </w:r>
    </w:p>
    <w:p w14:paraId="15F4C0CD" w14:textId="77777777" w:rsidR="004A7EDA" w:rsidRPr="004A7EDA" w:rsidRDefault="004A7EDA" w:rsidP="004A7EDA">
      <w:pPr>
        <w:rPr>
          <w:lang w:val="en-GB"/>
        </w:rPr>
      </w:pPr>
      <w:r w:rsidRPr="004A7EDA">
        <w:rPr>
          <w:lang w:val="en-GB"/>
        </w:rPr>
        <w:t xml:space="preserve">The Victorian Government has had record levels of investment in community sport and active recreation infrastructure in 2020–21, with over $290 million allocated to 239 community sport and recreation infrastructure projects. The objective of these investments is to secure the many benefits of participating in sport and active recreation and to support Victorians, particularly disadvantaged </w:t>
      </w:r>
      <w:proofErr w:type="gramStart"/>
      <w:r w:rsidRPr="004A7EDA">
        <w:rPr>
          <w:lang w:val="en-GB"/>
        </w:rPr>
        <w:t>communities</w:t>
      </w:r>
      <w:proofErr w:type="gramEnd"/>
      <w:r w:rsidRPr="004A7EDA">
        <w:rPr>
          <w:lang w:val="en-GB"/>
        </w:rPr>
        <w:t xml:space="preserve"> and under-represented groups, to achieve better health, wellbeing, social and economic outcomes.</w:t>
      </w:r>
    </w:p>
    <w:p w14:paraId="69953769" w14:textId="77777777" w:rsidR="004A7EDA" w:rsidRPr="004A7EDA" w:rsidRDefault="004A7EDA" w:rsidP="004A7EDA">
      <w:pPr>
        <w:rPr>
          <w:lang w:val="en-GB"/>
        </w:rPr>
      </w:pPr>
      <w:r w:rsidRPr="004A7EDA">
        <w:rPr>
          <w:lang w:val="en-GB"/>
        </w:rPr>
        <w:t xml:space="preserve">Investment in major sports facilities continued through the $101 million investment in the La Trobe University Sports Park, which includes the Home of the </w:t>
      </w:r>
      <w:proofErr w:type="spellStart"/>
      <w:r w:rsidRPr="004A7EDA">
        <w:rPr>
          <w:lang w:val="en-GB"/>
        </w:rPr>
        <w:t>Matildas</w:t>
      </w:r>
      <w:proofErr w:type="spellEnd"/>
      <w:r w:rsidRPr="004A7EDA">
        <w:rPr>
          <w:lang w:val="en-GB"/>
        </w:rPr>
        <w:t xml:space="preserve">. Additional funding was provided to the State Basketball Centre and Kardinia Park Stadium Upgrade Stage Five. Investment in professional women’s sport included completion of female facility upgrades at Mars Stadium in Ballarat, Casey Fields, Cranbourne East and Victoria Park, Abbotsford. Further investment occurred in AFLW facilities at Essendon Football Club, North Melbourne Football Club and Richmond Football Club. </w:t>
      </w:r>
    </w:p>
    <w:p w14:paraId="4EC8BEF0" w14:textId="31E48EA1" w:rsidR="004A7EDA" w:rsidRPr="004A7EDA" w:rsidRDefault="004A7EDA" w:rsidP="004A7EDA">
      <w:pPr>
        <w:rPr>
          <w:lang w:val="en-GB"/>
        </w:rPr>
      </w:pPr>
      <w:r w:rsidRPr="004A7EDA">
        <w:rPr>
          <w:lang w:val="en-GB"/>
        </w:rPr>
        <w:t>The $64.6 million State Netball and Hockey Centre upgrade was completed. The $15.3 million investment in the Home of Golf at Sandringham,</w:t>
      </w:r>
      <w:r w:rsidR="00BE02DE">
        <w:rPr>
          <w:lang w:val="en-GB"/>
        </w:rPr>
        <w:t xml:space="preserve"> </w:t>
      </w:r>
      <w:r w:rsidRPr="004A7EDA">
        <w:rPr>
          <w:lang w:val="en-GB"/>
        </w:rPr>
        <w:t>the $13.3 million to upgrade Melbourne Arena and the near $1 billion Melbourne Park redevelopment</w:t>
      </w:r>
      <w:r w:rsidRPr="004A7EDA">
        <w:rPr>
          <w:lang w:val="en-GB"/>
        </w:rPr>
        <w:br/>
        <w:t>all advanced to near completion. Investment in world class infrastructure supports the continued success of our athletes and professional sporting teams and readies the state for the full resumption of the major events calendar, which has a global broadcast reach. The 2021 Australia Open, for example,</w:t>
      </w:r>
      <w:r w:rsidR="00BE02DE">
        <w:rPr>
          <w:lang w:val="en-GB"/>
        </w:rPr>
        <w:t xml:space="preserve"> </w:t>
      </w:r>
      <w:r w:rsidRPr="004A7EDA">
        <w:rPr>
          <w:lang w:val="en-GB"/>
        </w:rPr>
        <w:t>was broadcast to more than 210 territories.</w:t>
      </w:r>
    </w:p>
    <w:p w14:paraId="0651DE60" w14:textId="77777777" w:rsidR="004A7EDA" w:rsidRPr="004A7EDA" w:rsidRDefault="004A7EDA" w:rsidP="008A0BE8">
      <w:pPr>
        <w:pStyle w:val="Heading5"/>
        <w:rPr>
          <w:lang w:val="en-GB"/>
        </w:rPr>
      </w:pPr>
      <w:r w:rsidRPr="004A7EDA">
        <w:rPr>
          <w:lang w:val="en-GB"/>
        </w:rPr>
        <w:t xml:space="preserve">Women’s </w:t>
      </w:r>
      <w:r w:rsidRPr="008A0BE8">
        <w:t>Participation</w:t>
      </w:r>
    </w:p>
    <w:p w14:paraId="0DCCAC8B" w14:textId="71DE578A" w:rsidR="004A7EDA" w:rsidRPr="004A7EDA" w:rsidRDefault="004A7EDA" w:rsidP="004A7EDA">
      <w:pPr>
        <w:rPr>
          <w:lang w:val="en-GB"/>
        </w:rPr>
      </w:pPr>
      <w:r w:rsidRPr="004A7EDA">
        <w:rPr>
          <w:lang w:val="en-GB"/>
        </w:rPr>
        <w:t>The government has recently committed over $11 million to continue the Office for Women</w:t>
      </w:r>
      <w:r w:rsidR="008A0BE8">
        <w:rPr>
          <w:lang w:val="en-GB"/>
        </w:rPr>
        <w:t xml:space="preserve"> </w:t>
      </w:r>
      <w:r w:rsidRPr="004A7EDA">
        <w:rPr>
          <w:lang w:val="en-GB"/>
        </w:rPr>
        <w:t>in Sport and Recreation, and the Change Our</w:t>
      </w:r>
      <w:r w:rsidR="008A0BE8">
        <w:rPr>
          <w:lang w:val="en-GB"/>
        </w:rPr>
        <w:t xml:space="preserve"> </w:t>
      </w:r>
      <w:r w:rsidRPr="004A7EDA">
        <w:rPr>
          <w:lang w:val="en-GB"/>
        </w:rPr>
        <w:t xml:space="preserve">Game suite of initiatives over the next four years. This follows initial funding of over $7 million since 2017. The government has also committed over $37 million to the Female Friendly Facilities Fund over the past five years to upgrade existing and develop new infrastructure to support female participation in sport and active recreation. </w:t>
      </w:r>
    </w:p>
    <w:p w14:paraId="000415A9" w14:textId="77777777" w:rsidR="004A7EDA" w:rsidRPr="004A7EDA" w:rsidRDefault="004A7EDA" w:rsidP="004A7EDA">
      <w:pPr>
        <w:rPr>
          <w:lang w:val="en-GB"/>
        </w:rPr>
      </w:pPr>
      <w:r w:rsidRPr="004A7EDA">
        <w:rPr>
          <w:lang w:val="en-GB"/>
        </w:rPr>
        <w:t xml:space="preserve">There has been a significant increase in female participation across a range of non-traditional female sports, such as Australian Rules football, </w:t>
      </w:r>
      <w:proofErr w:type="gramStart"/>
      <w:r w:rsidRPr="004A7EDA">
        <w:rPr>
          <w:lang w:val="en-GB"/>
        </w:rPr>
        <w:t>cricket</w:t>
      </w:r>
      <w:proofErr w:type="gramEnd"/>
      <w:r w:rsidRPr="004A7EDA">
        <w:rPr>
          <w:lang w:val="en-GB"/>
        </w:rPr>
        <w:t xml:space="preserve"> and soccer. In the past decade, the number of female Australian Rules football teams has increased 20-fold, from 58 teams in 2010 to over 1000 teams in 2020, with more than 29,400 participants.</w:t>
      </w:r>
    </w:p>
    <w:p w14:paraId="4C9B1E93" w14:textId="6015FBE2" w:rsidR="004A7EDA" w:rsidRPr="00D36705" w:rsidRDefault="004A7EDA" w:rsidP="00D36705">
      <w:pPr>
        <w:pStyle w:val="Heading4"/>
        <w:rPr>
          <w:lang w:val="en-GB"/>
        </w:rPr>
      </w:pPr>
      <w:r w:rsidRPr="004A7EDA">
        <w:rPr>
          <w:lang w:val="en-GB"/>
        </w:rPr>
        <w:t>Indicator: Wagering turnover on Victorian racing as a proportion</w:t>
      </w:r>
      <w:r w:rsidR="008A0BE8">
        <w:rPr>
          <w:lang w:val="en-GB"/>
        </w:rPr>
        <w:t xml:space="preserve"> </w:t>
      </w:r>
      <w:r w:rsidRPr="004A7EDA">
        <w:rPr>
          <w:lang w:val="en-GB"/>
        </w:rPr>
        <w:t>of the national market</w:t>
      </w:r>
    </w:p>
    <w:p w14:paraId="75F0D52D" w14:textId="77777777" w:rsidR="004A7EDA" w:rsidRPr="004A7EDA" w:rsidRDefault="004A7EDA" w:rsidP="008A0BE8">
      <w:pPr>
        <w:pStyle w:val="Heading5"/>
        <w:rPr>
          <w:lang w:val="en-GB"/>
        </w:rPr>
      </w:pPr>
      <w:r w:rsidRPr="004A7EDA">
        <w:rPr>
          <w:lang w:val="en-GB"/>
        </w:rPr>
        <w:t>Table 20: Wagering turnover on Victorian racing as a proportion of the national market</w:t>
      </w:r>
    </w:p>
    <w:tbl>
      <w:tblPr>
        <w:tblW w:w="0" w:type="auto"/>
        <w:tblInd w:w="28" w:type="dxa"/>
        <w:tblLayout w:type="fixed"/>
        <w:tblCellMar>
          <w:left w:w="0" w:type="dxa"/>
          <w:right w:w="0" w:type="dxa"/>
        </w:tblCellMar>
        <w:tblLook w:val="0000" w:firstRow="0" w:lastRow="0" w:firstColumn="0" w:lastColumn="0" w:noHBand="0" w:noVBand="0"/>
      </w:tblPr>
      <w:tblGrid>
        <w:gridCol w:w="5102"/>
        <w:gridCol w:w="1134"/>
        <w:gridCol w:w="1134"/>
        <w:gridCol w:w="1134"/>
        <w:gridCol w:w="1134"/>
      </w:tblGrid>
      <w:tr w:rsidR="004A7EDA" w:rsidRPr="004A7EDA" w14:paraId="2A827A08" w14:textId="77777777">
        <w:trPr>
          <w:trHeight w:val="336"/>
        </w:trPr>
        <w:tc>
          <w:tcPr>
            <w:tcW w:w="510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32F0F24" w14:textId="77777777" w:rsidR="004A7EDA" w:rsidRPr="004A7EDA" w:rsidRDefault="004A7EDA" w:rsidP="00286AE3">
            <w:pPr>
              <w:pStyle w:val="TableHeading"/>
              <w:rPr>
                <w:lang w:val="en-GB"/>
              </w:rPr>
            </w:pPr>
            <w:r w:rsidRPr="004A7EDA">
              <w:rPr>
                <w:lang w:val="en-GB"/>
              </w:rPr>
              <w:t>Measure (unit of measure)</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F64B238" w14:textId="77777777" w:rsidR="004A7EDA" w:rsidRPr="004A7EDA" w:rsidRDefault="004A7EDA" w:rsidP="00286AE3">
            <w:pPr>
              <w:pStyle w:val="TableHeading"/>
              <w:rPr>
                <w:lang w:val="en-GB"/>
              </w:rPr>
            </w:pPr>
            <w:r w:rsidRPr="004A7EDA">
              <w:rPr>
                <w:lang w:val="en-GB"/>
              </w:rPr>
              <w:t>2017–18</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515D587" w14:textId="77777777" w:rsidR="004A7EDA" w:rsidRPr="004A7EDA" w:rsidRDefault="004A7EDA" w:rsidP="00286AE3">
            <w:pPr>
              <w:pStyle w:val="TableHeading"/>
              <w:rPr>
                <w:lang w:val="en-GB"/>
              </w:rPr>
            </w:pPr>
            <w:r w:rsidRPr="004A7EDA">
              <w:rPr>
                <w:lang w:val="en-GB"/>
              </w:rPr>
              <w:t>2018–19</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1AD64F2" w14:textId="77777777" w:rsidR="004A7EDA" w:rsidRPr="004A7EDA" w:rsidRDefault="004A7EDA" w:rsidP="00286AE3">
            <w:pPr>
              <w:pStyle w:val="TableHeading"/>
              <w:rPr>
                <w:lang w:val="en-GB"/>
              </w:rPr>
            </w:pPr>
            <w:r w:rsidRPr="004A7EDA">
              <w:rPr>
                <w:lang w:val="en-GB"/>
              </w:rPr>
              <w:t>2019–20</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4068E01" w14:textId="77777777" w:rsidR="004A7EDA" w:rsidRPr="004A7EDA" w:rsidRDefault="004A7EDA" w:rsidP="00286AE3">
            <w:pPr>
              <w:pStyle w:val="TableHeading"/>
              <w:rPr>
                <w:lang w:val="en-GB"/>
              </w:rPr>
            </w:pPr>
            <w:r w:rsidRPr="004A7EDA">
              <w:rPr>
                <w:lang w:val="en-GB"/>
              </w:rPr>
              <w:t>2020–21</w:t>
            </w:r>
          </w:p>
        </w:tc>
      </w:tr>
      <w:tr w:rsidR="004A7EDA" w:rsidRPr="004A7EDA" w14:paraId="1F27B940" w14:textId="77777777">
        <w:trPr>
          <w:trHeight w:val="558"/>
        </w:trPr>
        <w:tc>
          <w:tcPr>
            <w:tcW w:w="510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A904B30" w14:textId="77777777" w:rsidR="004A7EDA" w:rsidRPr="004A7EDA" w:rsidRDefault="004A7EDA" w:rsidP="00286AE3">
            <w:pPr>
              <w:pStyle w:val="TableCopy"/>
              <w:rPr>
                <w:lang w:val="en-GB"/>
              </w:rPr>
            </w:pPr>
            <w:r w:rsidRPr="004A7EDA">
              <w:rPr>
                <w:lang w:val="en-GB"/>
              </w:rPr>
              <w:t>Wagering turnover on Victorian racing as a proportion</w:t>
            </w:r>
            <w:r w:rsidRPr="004A7EDA">
              <w:rPr>
                <w:lang w:val="en-GB"/>
              </w:rPr>
              <w:br/>
              <w:t>of the national market (per cent)</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CA158D0" w14:textId="77777777" w:rsidR="004A7EDA" w:rsidRPr="004A7EDA" w:rsidRDefault="004A7EDA" w:rsidP="00286AE3">
            <w:pPr>
              <w:pStyle w:val="TableCopy"/>
              <w:rPr>
                <w:lang w:val="en-GB"/>
              </w:rPr>
            </w:pPr>
            <w:r w:rsidRPr="004A7EDA">
              <w:rPr>
                <w:lang w:val="en-GB"/>
              </w:rPr>
              <w:t>38.2</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4D8FE61" w14:textId="77777777" w:rsidR="004A7EDA" w:rsidRPr="004A7EDA" w:rsidRDefault="004A7EDA" w:rsidP="00286AE3">
            <w:pPr>
              <w:pStyle w:val="TableCopy"/>
              <w:rPr>
                <w:lang w:val="en-GB"/>
              </w:rPr>
            </w:pPr>
            <w:r w:rsidRPr="004A7EDA">
              <w:rPr>
                <w:lang w:val="en-GB"/>
              </w:rPr>
              <w:t>38.5</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3A38868" w14:textId="77777777" w:rsidR="004A7EDA" w:rsidRPr="004A7EDA" w:rsidRDefault="004A7EDA" w:rsidP="00286AE3">
            <w:pPr>
              <w:pStyle w:val="TableCopy"/>
              <w:rPr>
                <w:lang w:val="en-GB"/>
              </w:rPr>
            </w:pPr>
            <w:r w:rsidRPr="004A7EDA">
              <w:rPr>
                <w:lang w:val="en-GB"/>
              </w:rPr>
              <w:t>37.5</w:t>
            </w:r>
          </w:p>
        </w:tc>
        <w:tc>
          <w:tcPr>
            <w:tcW w:w="11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3B4EE54" w14:textId="77777777" w:rsidR="004A7EDA" w:rsidRPr="004A7EDA" w:rsidRDefault="004A7EDA" w:rsidP="00286AE3">
            <w:pPr>
              <w:pStyle w:val="TableCopy"/>
              <w:rPr>
                <w:lang w:val="en-GB"/>
              </w:rPr>
            </w:pPr>
            <w:r w:rsidRPr="004A7EDA">
              <w:rPr>
                <w:lang w:val="en-GB"/>
              </w:rPr>
              <w:t>36.8</w:t>
            </w:r>
          </w:p>
        </w:tc>
      </w:tr>
    </w:tbl>
    <w:p w14:paraId="14899726" w14:textId="7C48CD62" w:rsidR="004A7EDA" w:rsidRPr="004A7EDA" w:rsidRDefault="004A7EDA" w:rsidP="00773C3E">
      <w:pPr>
        <w:pStyle w:val="Heading5"/>
        <w:rPr>
          <w:lang w:val="en-GB"/>
        </w:rPr>
      </w:pPr>
      <w:r w:rsidRPr="004A7EDA">
        <w:rPr>
          <w:lang w:val="en-GB"/>
        </w:rPr>
        <w:t>Figure 22: Wagering turnover on Victorian racing as a proportion of the national market</w:t>
      </w:r>
    </w:p>
    <w:p w14:paraId="7D78394F" w14:textId="35B496D9" w:rsidR="004A7EDA" w:rsidRPr="004A7EDA" w:rsidRDefault="00120E9E" w:rsidP="004A7EDA">
      <w:pPr>
        <w:rPr>
          <w:lang w:val="en-GB"/>
        </w:rPr>
      </w:pPr>
      <w:r>
        <w:rPr>
          <w:noProof/>
          <w:lang w:val="en-GB"/>
        </w:rPr>
        <w:lastRenderedPageBreak/>
        <w:drawing>
          <wp:inline distT="0" distB="0" distL="0" distR="0" wp14:anchorId="6C0BC85D" wp14:editId="24105000">
            <wp:extent cx="2894097" cy="1754525"/>
            <wp:effectExtent l="0" t="0" r="0" b="0"/>
            <wp:docPr id="22" name="Picture 22" descr="Chart&#10;&#10;Wagering turnover on Victorian racing as a proportion of the national market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Wagering turnover on Victorian racing as a proportion of the national market 2017-2021"/>
                    <pic:cNvPicPr/>
                  </pic:nvPicPr>
                  <pic:blipFill rotWithShape="1">
                    <a:blip r:embed="rId33"/>
                    <a:srcRect t="3835" b="26001"/>
                    <a:stretch/>
                  </pic:blipFill>
                  <pic:spPr bwMode="auto">
                    <a:xfrm>
                      <a:off x="0" y="0"/>
                      <a:ext cx="2895600" cy="1755436"/>
                    </a:xfrm>
                    <a:prstGeom prst="rect">
                      <a:avLst/>
                    </a:prstGeom>
                    <a:ln>
                      <a:noFill/>
                    </a:ln>
                    <a:extLst>
                      <a:ext uri="{53640926-AAD7-44D8-BBD7-CCE9431645EC}">
                        <a14:shadowObscured xmlns:a14="http://schemas.microsoft.com/office/drawing/2010/main"/>
                      </a:ext>
                    </a:extLst>
                  </pic:spPr>
                </pic:pic>
              </a:graphicData>
            </a:graphic>
          </wp:inline>
        </w:drawing>
      </w:r>
    </w:p>
    <w:p w14:paraId="6ED7B5A5" w14:textId="2E87BEB2" w:rsidR="004A7EDA" w:rsidRPr="004A7EDA" w:rsidRDefault="004A7EDA" w:rsidP="004A7EDA">
      <w:pPr>
        <w:rPr>
          <w:lang w:val="en-GB"/>
        </w:rPr>
      </w:pPr>
      <w:r w:rsidRPr="004A7EDA">
        <w:rPr>
          <w:lang w:val="en-GB"/>
        </w:rPr>
        <w:t>Government support for racing is based on</w:t>
      </w:r>
      <w:r w:rsidR="008A0BE8">
        <w:rPr>
          <w:lang w:val="en-GB"/>
        </w:rPr>
        <w:t xml:space="preserve"> </w:t>
      </w:r>
      <w:r w:rsidRPr="004A7EDA">
        <w:rPr>
          <w:lang w:val="en-GB"/>
        </w:rPr>
        <w:t xml:space="preserve">its economic, </w:t>
      </w:r>
      <w:proofErr w:type="gramStart"/>
      <w:r w:rsidRPr="004A7EDA">
        <w:rPr>
          <w:lang w:val="en-GB"/>
        </w:rPr>
        <w:t>social</w:t>
      </w:r>
      <w:proofErr w:type="gramEnd"/>
      <w:r w:rsidRPr="004A7EDA">
        <w:rPr>
          <w:lang w:val="en-GB"/>
        </w:rPr>
        <w:t xml:space="preserve"> and cultural contribution</w:t>
      </w:r>
      <w:r w:rsidR="008A0BE8">
        <w:rPr>
          <w:lang w:val="en-GB"/>
        </w:rPr>
        <w:t xml:space="preserve"> </w:t>
      </w:r>
      <w:r w:rsidRPr="004A7EDA">
        <w:rPr>
          <w:lang w:val="en-GB"/>
        </w:rPr>
        <w:t>to communities across Victoria. The objective</w:t>
      </w:r>
      <w:r w:rsidR="008A0BE8">
        <w:rPr>
          <w:lang w:val="en-GB"/>
        </w:rPr>
        <w:t xml:space="preserve"> </w:t>
      </w:r>
      <w:r w:rsidRPr="004A7EDA">
        <w:rPr>
          <w:lang w:val="en-GB"/>
        </w:rPr>
        <w:t>indicator of Tabcorp customers nationwide who</w:t>
      </w:r>
      <w:r w:rsidR="008A0BE8">
        <w:rPr>
          <w:lang w:val="en-GB"/>
        </w:rPr>
        <w:t xml:space="preserve"> </w:t>
      </w:r>
      <w:r w:rsidRPr="004A7EDA">
        <w:rPr>
          <w:lang w:val="en-GB"/>
        </w:rPr>
        <w:t>bet on Victorian racing as a proportion of the</w:t>
      </w:r>
      <w:r w:rsidR="008A0BE8">
        <w:rPr>
          <w:lang w:val="en-GB"/>
        </w:rPr>
        <w:t xml:space="preserve"> </w:t>
      </w:r>
      <w:r w:rsidRPr="004A7EDA">
        <w:rPr>
          <w:lang w:val="en-GB"/>
        </w:rPr>
        <w:t>national market is used to determine the health</w:t>
      </w:r>
      <w:r w:rsidR="008A0BE8">
        <w:rPr>
          <w:lang w:val="en-GB"/>
        </w:rPr>
        <w:t xml:space="preserve"> </w:t>
      </w:r>
      <w:r w:rsidRPr="004A7EDA">
        <w:rPr>
          <w:lang w:val="en-GB"/>
        </w:rPr>
        <w:t>of the Victorian racing industry. The measure includes all racing turnover held by Tabcorp on Victorian racing events.</w:t>
      </w:r>
    </w:p>
    <w:p w14:paraId="64607A05" w14:textId="77777777" w:rsidR="004A7EDA" w:rsidRPr="004A7EDA" w:rsidRDefault="004A7EDA" w:rsidP="004A7EDA">
      <w:pPr>
        <w:rPr>
          <w:lang w:val="en-GB"/>
        </w:rPr>
      </w:pPr>
      <w:r w:rsidRPr="004A7EDA">
        <w:rPr>
          <w:lang w:val="en-GB"/>
        </w:rPr>
        <w:t>While Victoria has approximately 25 per cent of the national population and hosts around 25 per cent of the national racing program, it attracts a greater percentage of the national wagering pool. In 2020–21, 36.8 per cent of the national wagering pool was held by Tabcorp on Victorian product, slightly down from 37.5 per cent in 2019–20, 38.5 per cent in 2018–19 and 38.2 per cent in 2017–18. This significant market share reflects confidence in the racing product and in the integrity of Victorian racing.</w:t>
      </w:r>
    </w:p>
    <w:p w14:paraId="6435EE0D" w14:textId="77777777" w:rsidR="004A7EDA" w:rsidRPr="004A7EDA" w:rsidRDefault="004A7EDA" w:rsidP="004A7EDA">
      <w:pPr>
        <w:rPr>
          <w:lang w:val="en-GB"/>
        </w:rPr>
      </w:pPr>
      <w:r w:rsidRPr="004A7EDA">
        <w:rPr>
          <w:lang w:val="en-GB"/>
        </w:rPr>
        <w:t>The slight reduction in this indicator may in part be attributed to both the closure of retail TAB outlets during the 2020–21 financial year and the increased interstate competition from both New South Wales and Queensland. New South Wales made significant increases to prize money and programmed new feature races in direct competition with established Victorian events, while Queensland has included many former non-TAB race meetings in its broadcast and wagering schedule.</w:t>
      </w:r>
    </w:p>
    <w:p w14:paraId="03FA5992" w14:textId="77777777" w:rsidR="004A7EDA" w:rsidRPr="004A7EDA" w:rsidRDefault="004A7EDA" w:rsidP="00120E9E">
      <w:pPr>
        <w:pStyle w:val="Heading4"/>
        <w:rPr>
          <w:lang w:val="en-GB"/>
        </w:rPr>
      </w:pPr>
      <w:r w:rsidRPr="004A7EDA">
        <w:rPr>
          <w:lang w:val="en-GB"/>
        </w:rPr>
        <w:t>Performance against output performance measures</w:t>
      </w:r>
    </w:p>
    <w:p w14:paraId="364AD848" w14:textId="77777777" w:rsidR="004A7EDA" w:rsidRPr="004A7EDA" w:rsidRDefault="004A7EDA" w:rsidP="004A7EDA">
      <w:pPr>
        <w:rPr>
          <w:lang w:val="en-GB"/>
        </w:rPr>
      </w:pPr>
      <w:r w:rsidRPr="004A7EDA">
        <w:rPr>
          <w:lang w:val="en-GB"/>
        </w:rPr>
        <w:t xml:space="preserve">Table 21 represents performance against the Creative Industries Access, </w:t>
      </w:r>
      <w:proofErr w:type="gramStart"/>
      <w:r w:rsidRPr="004A7EDA">
        <w:rPr>
          <w:lang w:val="en-GB"/>
        </w:rPr>
        <w:t>Development</w:t>
      </w:r>
      <w:proofErr w:type="gramEnd"/>
      <w:r w:rsidRPr="004A7EDA">
        <w:rPr>
          <w:lang w:val="en-GB"/>
        </w:rPr>
        <w:t xml:space="preserve"> and Innovation output. This output supports the creative industries to deliver economic, </w:t>
      </w:r>
      <w:proofErr w:type="gramStart"/>
      <w:r w:rsidRPr="004A7EDA">
        <w:rPr>
          <w:lang w:val="en-GB"/>
        </w:rPr>
        <w:t>social</w:t>
      </w:r>
      <w:proofErr w:type="gramEnd"/>
      <w:r w:rsidRPr="004A7EDA">
        <w:rPr>
          <w:lang w:val="en-GB"/>
        </w:rPr>
        <w:t xml:space="preserve"> and cultural benefit through talent and leadership; the creative and business ecology; innovation and social impact; participation and place making; and international engagement.</w:t>
      </w:r>
    </w:p>
    <w:p w14:paraId="70581C5E" w14:textId="7DE1F35C" w:rsidR="004A7EDA" w:rsidRPr="004A7EDA" w:rsidRDefault="004A7EDA" w:rsidP="00120E9E">
      <w:pPr>
        <w:pStyle w:val="Heading5"/>
        <w:rPr>
          <w:lang w:val="en-GB"/>
        </w:rPr>
      </w:pPr>
      <w:r w:rsidRPr="004A7EDA">
        <w:rPr>
          <w:lang w:val="en-GB"/>
        </w:rPr>
        <w:t xml:space="preserve">Table 21: Output – Creative Industries Access, </w:t>
      </w:r>
      <w:proofErr w:type="gramStart"/>
      <w:r w:rsidRPr="004A7EDA">
        <w:rPr>
          <w:lang w:val="en-GB"/>
        </w:rPr>
        <w:t>Development</w:t>
      </w:r>
      <w:proofErr w:type="gramEnd"/>
      <w:r w:rsidRPr="004A7EDA">
        <w:rPr>
          <w:lang w:val="en-GB"/>
        </w:rPr>
        <w:t xml:space="preserve"> and Innovation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9"/>
        <w:gridCol w:w="964"/>
        <w:gridCol w:w="963"/>
        <w:gridCol w:w="964"/>
        <w:gridCol w:w="1304"/>
        <w:gridCol w:w="964"/>
      </w:tblGrid>
      <w:tr w:rsidR="004A7EDA" w:rsidRPr="004A7EDA" w14:paraId="3B3078FF" w14:textId="77777777" w:rsidTr="00773C3E">
        <w:trPr>
          <w:trHeight w:val="113"/>
          <w:tblHeader/>
        </w:trPr>
        <w:tc>
          <w:tcPr>
            <w:tcW w:w="4479" w:type="dxa"/>
            <w:shd w:val="clear" w:color="auto" w:fill="auto"/>
            <w:tcMar>
              <w:top w:w="113" w:type="dxa"/>
              <w:left w:w="28" w:type="dxa"/>
              <w:bottom w:w="113" w:type="dxa"/>
              <w:right w:w="28" w:type="dxa"/>
            </w:tcMar>
          </w:tcPr>
          <w:p w14:paraId="7F4536A9" w14:textId="77777777" w:rsidR="004A7EDA" w:rsidRPr="004A7EDA" w:rsidRDefault="004A7EDA" w:rsidP="00286AE3">
            <w:pPr>
              <w:pStyle w:val="TableHeading"/>
              <w:rPr>
                <w:lang w:val="en-GB"/>
              </w:rPr>
            </w:pPr>
            <w:r w:rsidRPr="004A7EDA">
              <w:rPr>
                <w:lang w:val="en-GB"/>
              </w:rPr>
              <w:t>Performance measures</w:t>
            </w:r>
          </w:p>
        </w:tc>
        <w:tc>
          <w:tcPr>
            <w:tcW w:w="964" w:type="dxa"/>
            <w:shd w:val="clear" w:color="auto" w:fill="auto"/>
            <w:tcMar>
              <w:top w:w="113" w:type="dxa"/>
              <w:left w:w="28" w:type="dxa"/>
              <w:bottom w:w="113" w:type="dxa"/>
              <w:right w:w="28" w:type="dxa"/>
            </w:tcMar>
          </w:tcPr>
          <w:p w14:paraId="1D4EDC9F" w14:textId="77777777" w:rsidR="004A7EDA" w:rsidRPr="004A7EDA" w:rsidRDefault="004A7EDA" w:rsidP="00286AE3">
            <w:pPr>
              <w:pStyle w:val="TableHeading"/>
              <w:rPr>
                <w:lang w:val="en-GB"/>
              </w:rPr>
            </w:pPr>
            <w:r w:rsidRPr="004A7EDA">
              <w:rPr>
                <w:lang w:val="en-GB"/>
              </w:rPr>
              <w:t>Unit of measure</w:t>
            </w:r>
          </w:p>
        </w:tc>
        <w:tc>
          <w:tcPr>
            <w:tcW w:w="963" w:type="dxa"/>
            <w:shd w:val="clear" w:color="auto" w:fill="auto"/>
            <w:tcMar>
              <w:top w:w="113" w:type="dxa"/>
              <w:left w:w="28" w:type="dxa"/>
              <w:bottom w:w="113" w:type="dxa"/>
              <w:right w:w="28" w:type="dxa"/>
            </w:tcMar>
          </w:tcPr>
          <w:p w14:paraId="75727089" w14:textId="77777777" w:rsidR="004A7EDA" w:rsidRPr="004A7EDA" w:rsidRDefault="004A7EDA" w:rsidP="00286AE3">
            <w:pPr>
              <w:pStyle w:val="TableHeading"/>
              <w:rPr>
                <w:lang w:val="en-GB"/>
              </w:rPr>
            </w:pPr>
            <w:r w:rsidRPr="004A7EDA">
              <w:rPr>
                <w:lang w:val="en-GB"/>
              </w:rPr>
              <w:t>2020–21 actual</w:t>
            </w:r>
          </w:p>
        </w:tc>
        <w:tc>
          <w:tcPr>
            <w:tcW w:w="964" w:type="dxa"/>
            <w:shd w:val="clear" w:color="auto" w:fill="auto"/>
            <w:tcMar>
              <w:top w:w="113" w:type="dxa"/>
              <w:left w:w="28" w:type="dxa"/>
              <w:bottom w:w="113" w:type="dxa"/>
              <w:right w:w="28" w:type="dxa"/>
            </w:tcMar>
          </w:tcPr>
          <w:p w14:paraId="4254417D" w14:textId="77777777" w:rsidR="004A7EDA" w:rsidRPr="004A7EDA" w:rsidRDefault="004A7EDA" w:rsidP="00286AE3">
            <w:pPr>
              <w:pStyle w:val="TableHeading"/>
              <w:rPr>
                <w:lang w:val="en-GB"/>
              </w:rPr>
            </w:pPr>
            <w:r w:rsidRPr="004A7EDA">
              <w:rPr>
                <w:lang w:val="en-GB"/>
              </w:rPr>
              <w:t>2020–21 target</w:t>
            </w:r>
          </w:p>
        </w:tc>
        <w:tc>
          <w:tcPr>
            <w:tcW w:w="1304" w:type="dxa"/>
            <w:shd w:val="clear" w:color="auto" w:fill="auto"/>
            <w:tcMar>
              <w:top w:w="113" w:type="dxa"/>
              <w:left w:w="28" w:type="dxa"/>
              <w:bottom w:w="113" w:type="dxa"/>
              <w:right w:w="28" w:type="dxa"/>
            </w:tcMar>
          </w:tcPr>
          <w:p w14:paraId="35612CDB" w14:textId="77777777" w:rsidR="004A7EDA" w:rsidRPr="004A7EDA" w:rsidRDefault="004A7EDA" w:rsidP="00286AE3">
            <w:pPr>
              <w:pStyle w:val="TableHeading"/>
              <w:rPr>
                <w:lang w:val="en-GB"/>
              </w:rPr>
            </w:pPr>
            <w:r w:rsidRPr="004A7EDA">
              <w:rPr>
                <w:lang w:val="en-GB"/>
              </w:rPr>
              <w:t>Performance variation (%)</w:t>
            </w:r>
          </w:p>
        </w:tc>
        <w:tc>
          <w:tcPr>
            <w:tcW w:w="964" w:type="dxa"/>
            <w:shd w:val="clear" w:color="auto" w:fill="auto"/>
            <w:tcMar>
              <w:top w:w="113" w:type="dxa"/>
              <w:left w:w="28" w:type="dxa"/>
              <w:bottom w:w="113" w:type="dxa"/>
              <w:right w:w="28" w:type="dxa"/>
            </w:tcMar>
          </w:tcPr>
          <w:p w14:paraId="6C029C3B" w14:textId="77777777" w:rsidR="004A7EDA" w:rsidRPr="004A7EDA" w:rsidRDefault="004A7EDA" w:rsidP="00286AE3">
            <w:pPr>
              <w:pStyle w:val="TableHeading"/>
              <w:rPr>
                <w:lang w:val="en-GB"/>
              </w:rPr>
            </w:pPr>
            <w:r w:rsidRPr="004A7EDA">
              <w:rPr>
                <w:lang w:val="en-GB"/>
              </w:rPr>
              <w:t>Result</w:t>
            </w:r>
          </w:p>
        </w:tc>
      </w:tr>
      <w:tr w:rsidR="004A7EDA" w:rsidRPr="00773C3E" w14:paraId="5AAC6240" w14:textId="77777777" w:rsidTr="00773C3E">
        <w:trPr>
          <w:trHeight w:val="113"/>
        </w:trPr>
        <w:tc>
          <w:tcPr>
            <w:tcW w:w="9638" w:type="dxa"/>
            <w:gridSpan w:val="6"/>
            <w:shd w:val="clear" w:color="auto" w:fill="auto"/>
            <w:tcMar>
              <w:top w:w="113" w:type="dxa"/>
              <w:left w:w="28" w:type="dxa"/>
              <w:bottom w:w="113" w:type="dxa"/>
              <w:right w:w="28" w:type="dxa"/>
            </w:tcMar>
          </w:tcPr>
          <w:p w14:paraId="4D9EA853" w14:textId="77777777" w:rsidR="004A7EDA" w:rsidRPr="00773C3E" w:rsidRDefault="004A7EDA" w:rsidP="00286AE3">
            <w:pPr>
              <w:pStyle w:val="TableCopy"/>
            </w:pPr>
            <w:r w:rsidRPr="00773C3E">
              <w:t>Quantity</w:t>
            </w:r>
          </w:p>
        </w:tc>
      </w:tr>
      <w:tr w:rsidR="004A7EDA" w:rsidRPr="004A7EDA" w14:paraId="44A9DDB5" w14:textId="77777777" w:rsidTr="00773C3E">
        <w:trPr>
          <w:trHeight w:val="113"/>
        </w:trPr>
        <w:tc>
          <w:tcPr>
            <w:tcW w:w="4479" w:type="dxa"/>
            <w:shd w:val="clear" w:color="auto" w:fill="auto"/>
            <w:tcMar>
              <w:top w:w="113" w:type="dxa"/>
              <w:left w:w="28" w:type="dxa"/>
              <w:bottom w:w="113" w:type="dxa"/>
              <w:right w:w="28" w:type="dxa"/>
            </w:tcMar>
          </w:tcPr>
          <w:p w14:paraId="224212E2" w14:textId="77777777" w:rsidR="004A7EDA" w:rsidRPr="004A7EDA" w:rsidRDefault="004A7EDA" w:rsidP="00286AE3">
            <w:pPr>
              <w:pStyle w:val="TableCopy"/>
              <w:rPr>
                <w:lang w:val="en-GB"/>
              </w:rPr>
            </w:pPr>
            <w:r w:rsidRPr="004A7EDA">
              <w:rPr>
                <w:lang w:val="en-GB"/>
              </w:rPr>
              <w:t>Attendances at major performing arts organisations</w:t>
            </w:r>
          </w:p>
        </w:tc>
        <w:tc>
          <w:tcPr>
            <w:tcW w:w="964" w:type="dxa"/>
            <w:shd w:val="clear" w:color="auto" w:fill="auto"/>
            <w:tcMar>
              <w:top w:w="113" w:type="dxa"/>
              <w:left w:w="28" w:type="dxa"/>
              <w:bottom w:w="113" w:type="dxa"/>
              <w:right w:w="28" w:type="dxa"/>
            </w:tcMar>
          </w:tcPr>
          <w:p w14:paraId="5BDB3593"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03A34191" w14:textId="77777777" w:rsidR="004A7EDA" w:rsidRPr="004A7EDA" w:rsidRDefault="004A7EDA" w:rsidP="00286AE3">
            <w:pPr>
              <w:pStyle w:val="TableCopy"/>
              <w:rPr>
                <w:lang w:val="en-GB"/>
              </w:rPr>
            </w:pPr>
            <w:r w:rsidRPr="004A7EDA">
              <w:rPr>
                <w:lang w:val="en-GB"/>
              </w:rPr>
              <w:t>287</w:t>
            </w:r>
          </w:p>
        </w:tc>
        <w:tc>
          <w:tcPr>
            <w:tcW w:w="964" w:type="dxa"/>
            <w:shd w:val="clear" w:color="auto" w:fill="auto"/>
            <w:tcMar>
              <w:top w:w="113" w:type="dxa"/>
              <w:left w:w="28" w:type="dxa"/>
              <w:bottom w:w="113" w:type="dxa"/>
              <w:right w:w="28" w:type="dxa"/>
            </w:tcMar>
          </w:tcPr>
          <w:p w14:paraId="29170024" w14:textId="77777777" w:rsidR="004A7EDA" w:rsidRPr="004A7EDA" w:rsidRDefault="004A7EDA" w:rsidP="00286AE3">
            <w:pPr>
              <w:pStyle w:val="TableCopy"/>
              <w:rPr>
                <w:lang w:val="en-GB"/>
              </w:rPr>
            </w:pPr>
            <w:r w:rsidRPr="004A7EDA">
              <w:rPr>
                <w:lang w:val="en-GB"/>
              </w:rPr>
              <w:t>1,000</w:t>
            </w:r>
          </w:p>
        </w:tc>
        <w:tc>
          <w:tcPr>
            <w:tcW w:w="1304" w:type="dxa"/>
            <w:shd w:val="clear" w:color="auto" w:fill="auto"/>
            <w:tcMar>
              <w:top w:w="113" w:type="dxa"/>
              <w:left w:w="28" w:type="dxa"/>
              <w:bottom w:w="113" w:type="dxa"/>
              <w:right w:w="28" w:type="dxa"/>
            </w:tcMar>
          </w:tcPr>
          <w:p w14:paraId="726D1BD9" w14:textId="77777777" w:rsidR="004A7EDA" w:rsidRPr="004A7EDA" w:rsidRDefault="004A7EDA" w:rsidP="00286AE3">
            <w:pPr>
              <w:pStyle w:val="TableCopy"/>
              <w:rPr>
                <w:lang w:val="en-GB"/>
              </w:rPr>
            </w:pPr>
            <w:r w:rsidRPr="004A7EDA">
              <w:rPr>
                <w:lang w:val="en-GB"/>
              </w:rPr>
              <w:t>-71.3%</w:t>
            </w:r>
          </w:p>
        </w:tc>
        <w:tc>
          <w:tcPr>
            <w:tcW w:w="964" w:type="dxa"/>
            <w:shd w:val="clear" w:color="auto" w:fill="auto"/>
            <w:tcMar>
              <w:top w:w="113" w:type="dxa"/>
              <w:left w:w="28" w:type="dxa"/>
              <w:bottom w:w="113" w:type="dxa"/>
              <w:right w:w="28" w:type="dxa"/>
            </w:tcMar>
          </w:tcPr>
          <w:p w14:paraId="5ED24B91" w14:textId="72E505CB" w:rsidR="004A7EDA" w:rsidRPr="004A7EDA" w:rsidRDefault="00120E9E" w:rsidP="00286AE3">
            <w:pPr>
              <w:pStyle w:val="TableCopy"/>
              <w:rPr>
                <w:lang w:val="en-GB"/>
              </w:rPr>
            </w:pPr>
            <w:r>
              <w:rPr>
                <w:lang w:val="en-GB"/>
              </w:rPr>
              <w:t>#</w:t>
            </w:r>
          </w:p>
        </w:tc>
      </w:tr>
      <w:tr w:rsidR="004A7EDA" w:rsidRPr="004A7EDA" w14:paraId="193854A6" w14:textId="77777777" w:rsidTr="00773C3E">
        <w:trPr>
          <w:trHeight w:val="113"/>
        </w:trPr>
        <w:tc>
          <w:tcPr>
            <w:tcW w:w="9638" w:type="dxa"/>
            <w:gridSpan w:val="6"/>
            <w:shd w:val="clear" w:color="auto" w:fill="auto"/>
            <w:tcMar>
              <w:top w:w="113" w:type="dxa"/>
              <w:left w:w="113" w:type="dxa"/>
              <w:bottom w:w="113" w:type="dxa"/>
              <w:right w:w="113" w:type="dxa"/>
            </w:tcMar>
          </w:tcPr>
          <w:p w14:paraId="43AB2F09" w14:textId="5A7116FA" w:rsidR="004A7EDA" w:rsidRPr="004A7EDA" w:rsidRDefault="004A7EDA" w:rsidP="00286AE3">
            <w:pPr>
              <w:pStyle w:val="TableCopy"/>
            </w:pPr>
            <w:r w:rsidRPr="004A7EDA">
              <w:t>Lower result due to major performing arts companies being unable to present due to COVID-19 lockdowns. The attendance figure</w:t>
            </w:r>
            <w:r w:rsidR="00120E9E">
              <w:t xml:space="preserve"> </w:t>
            </w:r>
            <w:r w:rsidRPr="004A7EDA">
              <w:t>of 287,462 is for live attendances. It does not include any online attendances that organisations attracted due to organisations pivoting</w:t>
            </w:r>
            <w:r w:rsidR="00120E9E">
              <w:t xml:space="preserve"> </w:t>
            </w:r>
            <w:r w:rsidRPr="004A7EDA">
              <w:t>to online delivery.</w:t>
            </w:r>
          </w:p>
        </w:tc>
      </w:tr>
      <w:tr w:rsidR="004A7EDA" w:rsidRPr="004A7EDA" w14:paraId="35119CC9" w14:textId="77777777" w:rsidTr="00773C3E">
        <w:trPr>
          <w:trHeight w:val="113"/>
        </w:trPr>
        <w:tc>
          <w:tcPr>
            <w:tcW w:w="4479" w:type="dxa"/>
            <w:shd w:val="clear" w:color="auto" w:fill="auto"/>
            <w:tcMar>
              <w:top w:w="113" w:type="dxa"/>
              <w:left w:w="28" w:type="dxa"/>
              <w:bottom w:w="113" w:type="dxa"/>
              <w:right w:w="28" w:type="dxa"/>
            </w:tcMar>
          </w:tcPr>
          <w:p w14:paraId="211418C2" w14:textId="77777777" w:rsidR="004A7EDA" w:rsidRPr="004A7EDA" w:rsidRDefault="004A7EDA" w:rsidP="00286AE3">
            <w:pPr>
              <w:pStyle w:val="TableCopy"/>
              <w:rPr>
                <w:lang w:val="en-GB"/>
              </w:rPr>
            </w:pPr>
            <w:r w:rsidRPr="004A7EDA">
              <w:rPr>
                <w:lang w:val="en-GB"/>
              </w:rPr>
              <w:t>Creative Learning Partnerships</w:t>
            </w:r>
          </w:p>
        </w:tc>
        <w:tc>
          <w:tcPr>
            <w:tcW w:w="964" w:type="dxa"/>
            <w:shd w:val="clear" w:color="auto" w:fill="auto"/>
            <w:tcMar>
              <w:top w:w="113" w:type="dxa"/>
              <w:left w:w="28" w:type="dxa"/>
              <w:bottom w:w="113" w:type="dxa"/>
              <w:right w:w="28" w:type="dxa"/>
            </w:tcMar>
          </w:tcPr>
          <w:p w14:paraId="1B0683A6"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63F5417B" w14:textId="77777777" w:rsidR="004A7EDA" w:rsidRPr="004A7EDA" w:rsidRDefault="004A7EDA" w:rsidP="00286AE3">
            <w:pPr>
              <w:pStyle w:val="TableCopy"/>
              <w:rPr>
                <w:lang w:val="en-GB"/>
              </w:rPr>
            </w:pPr>
            <w:r w:rsidRPr="004A7EDA">
              <w:rPr>
                <w:lang w:val="en-GB"/>
              </w:rPr>
              <w:t>14</w:t>
            </w:r>
          </w:p>
        </w:tc>
        <w:tc>
          <w:tcPr>
            <w:tcW w:w="964" w:type="dxa"/>
            <w:shd w:val="clear" w:color="auto" w:fill="auto"/>
            <w:tcMar>
              <w:top w:w="113" w:type="dxa"/>
              <w:left w:w="28" w:type="dxa"/>
              <w:bottom w:w="113" w:type="dxa"/>
              <w:right w:w="28" w:type="dxa"/>
            </w:tcMar>
          </w:tcPr>
          <w:p w14:paraId="52DE0524" w14:textId="77777777" w:rsidR="004A7EDA" w:rsidRPr="004A7EDA" w:rsidRDefault="004A7EDA" w:rsidP="00286AE3">
            <w:pPr>
              <w:pStyle w:val="TableCopy"/>
              <w:rPr>
                <w:lang w:val="en-GB"/>
              </w:rPr>
            </w:pPr>
            <w:r w:rsidRPr="004A7EDA">
              <w:rPr>
                <w:lang w:val="en-GB"/>
              </w:rPr>
              <w:t>14</w:t>
            </w:r>
          </w:p>
        </w:tc>
        <w:tc>
          <w:tcPr>
            <w:tcW w:w="1304" w:type="dxa"/>
            <w:shd w:val="clear" w:color="auto" w:fill="auto"/>
            <w:tcMar>
              <w:top w:w="113" w:type="dxa"/>
              <w:left w:w="28" w:type="dxa"/>
              <w:bottom w:w="113" w:type="dxa"/>
              <w:right w:w="28" w:type="dxa"/>
            </w:tcMar>
          </w:tcPr>
          <w:p w14:paraId="2A7820C7"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5D8E3EF1" w14:textId="07F447B5" w:rsidR="004A7EDA" w:rsidRPr="004A7EDA" w:rsidRDefault="00120E9E" w:rsidP="00286AE3">
            <w:pPr>
              <w:pStyle w:val="TableCopy"/>
              <w:rPr>
                <w:lang w:val="en-GB"/>
              </w:rPr>
            </w:pPr>
            <w:r>
              <w:rPr>
                <w:lang w:val="en-GB"/>
              </w:rPr>
              <w:t>*</w:t>
            </w:r>
          </w:p>
        </w:tc>
      </w:tr>
      <w:tr w:rsidR="004A7EDA" w:rsidRPr="004A7EDA" w14:paraId="07462D53" w14:textId="77777777" w:rsidTr="00773C3E">
        <w:trPr>
          <w:trHeight w:val="113"/>
        </w:trPr>
        <w:tc>
          <w:tcPr>
            <w:tcW w:w="4479" w:type="dxa"/>
            <w:shd w:val="clear" w:color="auto" w:fill="auto"/>
            <w:tcMar>
              <w:top w:w="113" w:type="dxa"/>
              <w:left w:w="28" w:type="dxa"/>
              <w:bottom w:w="113" w:type="dxa"/>
              <w:right w:w="28" w:type="dxa"/>
            </w:tcMar>
          </w:tcPr>
          <w:p w14:paraId="7FB8A0CF" w14:textId="77777777" w:rsidR="004A7EDA" w:rsidRPr="004A7EDA" w:rsidRDefault="004A7EDA" w:rsidP="00286AE3">
            <w:pPr>
              <w:pStyle w:val="TableCopy"/>
              <w:rPr>
                <w:lang w:val="en-GB"/>
              </w:rPr>
            </w:pPr>
            <w:r w:rsidRPr="004A7EDA">
              <w:rPr>
                <w:lang w:val="en-GB"/>
              </w:rPr>
              <w:t>Design organisations supported</w:t>
            </w:r>
          </w:p>
        </w:tc>
        <w:tc>
          <w:tcPr>
            <w:tcW w:w="964" w:type="dxa"/>
            <w:shd w:val="clear" w:color="auto" w:fill="auto"/>
            <w:tcMar>
              <w:top w:w="113" w:type="dxa"/>
              <w:left w:w="28" w:type="dxa"/>
              <w:bottom w:w="113" w:type="dxa"/>
              <w:right w:w="28" w:type="dxa"/>
            </w:tcMar>
          </w:tcPr>
          <w:p w14:paraId="68FE2493"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78CE1382" w14:textId="77777777" w:rsidR="004A7EDA" w:rsidRPr="004A7EDA" w:rsidRDefault="004A7EDA" w:rsidP="00286AE3">
            <w:pPr>
              <w:pStyle w:val="TableCopy"/>
              <w:rPr>
                <w:lang w:val="en-GB"/>
              </w:rPr>
            </w:pPr>
            <w:r w:rsidRPr="004A7EDA">
              <w:rPr>
                <w:lang w:val="en-GB"/>
              </w:rPr>
              <w:t>21</w:t>
            </w:r>
          </w:p>
        </w:tc>
        <w:tc>
          <w:tcPr>
            <w:tcW w:w="964" w:type="dxa"/>
            <w:shd w:val="clear" w:color="auto" w:fill="auto"/>
            <w:tcMar>
              <w:top w:w="113" w:type="dxa"/>
              <w:left w:w="28" w:type="dxa"/>
              <w:bottom w:w="113" w:type="dxa"/>
              <w:right w:w="28" w:type="dxa"/>
            </w:tcMar>
          </w:tcPr>
          <w:p w14:paraId="14CF68F3" w14:textId="77777777" w:rsidR="004A7EDA" w:rsidRPr="004A7EDA" w:rsidRDefault="004A7EDA" w:rsidP="00286AE3">
            <w:pPr>
              <w:pStyle w:val="TableCopy"/>
              <w:rPr>
                <w:lang w:val="en-GB"/>
              </w:rPr>
            </w:pPr>
            <w:r w:rsidRPr="004A7EDA">
              <w:rPr>
                <w:lang w:val="en-GB"/>
              </w:rPr>
              <w:t>22</w:t>
            </w:r>
          </w:p>
        </w:tc>
        <w:tc>
          <w:tcPr>
            <w:tcW w:w="1304" w:type="dxa"/>
            <w:shd w:val="clear" w:color="auto" w:fill="auto"/>
            <w:tcMar>
              <w:top w:w="113" w:type="dxa"/>
              <w:left w:w="28" w:type="dxa"/>
              <w:bottom w:w="113" w:type="dxa"/>
              <w:right w:w="28" w:type="dxa"/>
            </w:tcMar>
          </w:tcPr>
          <w:p w14:paraId="73F9FC87" w14:textId="77777777" w:rsidR="004A7EDA" w:rsidRPr="004A7EDA" w:rsidRDefault="004A7EDA" w:rsidP="00286AE3">
            <w:pPr>
              <w:pStyle w:val="TableCopy"/>
              <w:rPr>
                <w:lang w:val="en-GB"/>
              </w:rPr>
            </w:pPr>
            <w:r w:rsidRPr="004A7EDA">
              <w:rPr>
                <w:lang w:val="en-GB"/>
              </w:rPr>
              <w:t>-4.5%</w:t>
            </w:r>
          </w:p>
        </w:tc>
        <w:tc>
          <w:tcPr>
            <w:tcW w:w="964" w:type="dxa"/>
            <w:shd w:val="clear" w:color="auto" w:fill="auto"/>
            <w:tcMar>
              <w:top w:w="113" w:type="dxa"/>
              <w:left w:w="28" w:type="dxa"/>
              <w:bottom w:w="113" w:type="dxa"/>
              <w:right w:w="28" w:type="dxa"/>
            </w:tcMar>
          </w:tcPr>
          <w:p w14:paraId="5859C778" w14:textId="3EA5A095" w:rsidR="004A7EDA" w:rsidRPr="004A7EDA" w:rsidRDefault="00120E9E" w:rsidP="00286AE3">
            <w:pPr>
              <w:pStyle w:val="TableCopy"/>
              <w:rPr>
                <w:lang w:val="en-GB"/>
              </w:rPr>
            </w:pPr>
            <w:r>
              <w:rPr>
                <w:lang w:val="en-GB"/>
              </w:rPr>
              <w:t>–</w:t>
            </w:r>
          </w:p>
        </w:tc>
      </w:tr>
      <w:tr w:rsidR="004A7EDA" w:rsidRPr="004A7EDA" w14:paraId="03BB465D" w14:textId="77777777" w:rsidTr="00773C3E">
        <w:trPr>
          <w:trHeight w:val="113"/>
        </w:trPr>
        <w:tc>
          <w:tcPr>
            <w:tcW w:w="4479" w:type="dxa"/>
            <w:shd w:val="clear" w:color="auto" w:fill="auto"/>
            <w:tcMar>
              <w:top w:w="113" w:type="dxa"/>
              <w:left w:w="28" w:type="dxa"/>
              <w:bottom w:w="113" w:type="dxa"/>
              <w:right w:w="28" w:type="dxa"/>
            </w:tcMar>
          </w:tcPr>
          <w:p w14:paraId="2A457DC1" w14:textId="77777777" w:rsidR="004A7EDA" w:rsidRPr="004A7EDA" w:rsidRDefault="004A7EDA" w:rsidP="00286AE3">
            <w:pPr>
              <w:pStyle w:val="TableCopy"/>
              <w:rPr>
                <w:lang w:val="en-GB"/>
              </w:rPr>
            </w:pPr>
            <w:r w:rsidRPr="004A7EDA">
              <w:rPr>
                <w:lang w:val="en-GB"/>
              </w:rPr>
              <w:t>International market development and exchange initiatives</w:t>
            </w:r>
          </w:p>
        </w:tc>
        <w:tc>
          <w:tcPr>
            <w:tcW w:w="964" w:type="dxa"/>
            <w:shd w:val="clear" w:color="auto" w:fill="auto"/>
            <w:tcMar>
              <w:top w:w="113" w:type="dxa"/>
              <w:left w:w="28" w:type="dxa"/>
              <w:bottom w:w="113" w:type="dxa"/>
              <w:right w:w="28" w:type="dxa"/>
            </w:tcMar>
          </w:tcPr>
          <w:p w14:paraId="46F61C38"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6AA578A4" w14:textId="77777777" w:rsidR="004A7EDA" w:rsidRPr="004A7EDA" w:rsidRDefault="004A7EDA" w:rsidP="00286AE3">
            <w:pPr>
              <w:pStyle w:val="TableCopy"/>
              <w:rPr>
                <w:lang w:val="en-GB"/>
              </w:rPr>
            </w:pPr>
            <w:r w:rsidRPr="004A7EDA">
              <w:rPr>
                <w:lang w:val="en-GB"/>
              </w:rPr>
              <w:t>12</w:t>
            </w:r>
          </w:p>
        </w:tc>
        <w:tc>
          <w:tcPr>
            <w:tcW w:w="964" w:type="dxa"/>
            <w:shd w:val="clear" w:color="auto" w:fill="auto"/>
            <w:tcMar>
              <w:top w:w="113" w:type="dxa"/>
              <w:left w:w="28" w:type="dxa"/>
              <w:bottom w:w="113" w:type="dxa"/>
              <w:right w:w="28" w:type="dxa"/>
            </w:tcMar>
          </w:tcPr>
          <w:p w14:paraId="691225C9" w14:textId="77777777" w:rsidR="004A7EDA" w:rsidRPr="004A7EDA" w:rsidRDefault="004A7EDA" w:rsidP="00286AE3">
            <w:pPr>
              <w:pStyle w:val="TableCopy"/>
              <w:rPr>
                <w:lang w:val="en-GB"/>
              </w:rPr>
            </w:pPr>
            <w:r w:rsidRPr="004A7EDA">
              <w:rPr>
                <w:lang w:val="en-GB"/>
              </w:rPr>
              <w:t>12</w:t>
            </w:r>
          </w:p>
        </w:tc>
        <w:tc>
          <w:tcPr>
            <w:tcW w:w="1304" w:type="dxa"/>
            <w:shd w:val="clear" w:color="auto" w:fill="auto"/>
            <w:tcMar>
              <w:top w:w="113" w:type="dxa"/>
              <w:left w:w="28" w:type="dxa"/>
              <w:bottom w:w="113" w:type="dxa"/>
              <w:right w:w="28" w:type="dxa"/>
            </w:tcMar>
          </w:tcPr>
          <w:p w14:paraId="784073AC"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5BA27DA7" w14:textId="5FECA2C9" w:rsidR="004A7EDA" w:rsidRPr="004A7EDA" w:rsidRDefault="00120E9E" w:rsidP="00286AE3">
            <w:pPr>
              <w:pStyle w:val="TableCopy"/>
              <w:rPr>
                <w:lang w:val="en-GB"/>
              </w:rPr>
            </w:pPr>
            <w:r>
              <w:rPr>
                <w:lang w:val="en-GB"/>
              </w:rPr>
              <w:t>*</w:t>
            </w:r>
          </w:p>
        </w:tc>
      </w:tr>
      <w:tr w:rsidR="004A7EDA" w:rsidRPr="004A7EDA" w14:paraId="3669F460" w14:textId="77777777" w:rsidTr="00773C3E">
        <w:trPr>
          <w:trHeight w:val="113"/>
        </w:trPr>
        <w:tc>
          <w:tcPr>
            <w:tcW w:w="4479" w:type="dxa"/>
            <w:shd w:val="clear" w:color="auto" w:fill="auto"/>
            <w:tcMar>
              <w:top w:w="113" w:type="dxa"/>
              <w:left w:w="28" w:type="dxa"/>
              <w:bottom w:w="113" w:type="dxa"/>
              <w:right w:w="28" w:type="dxa"/>
            </w:tcMar>
          </w:tcPr>
          <w:p w14:paraId="42871755" w14:textId="77777777" w:rsidR="004A7EDA" w:rsidRPr="004A7EDA" w:rsidRDefault="004A7EDA" w:rsidP="00286AE3">
            <w:pPr>
              <w:pStyle w:val="TableCopy"/>
              <w:rPr>
                <w:lang w:val="en-GB"/>
              </w:rPr>
            </w:pPr>
            <w:r w:rsidRPr="004A7EDA">
              <w:rPr>
                <w:lang w:val="en-GB"/>
              </w:rPr>
              <w:t>Organisations recurrently funded</w:t>
            </w:r>
          </w:p>
        </w:tc>
        <w:tc>
          <w:tcPr>
            <w:tcW w:w="964" w:type="dxa"/>
            <w:shd w:val="clear" w:color="auto" w:fill="auto"/>
            <w:tcMar>
              <w:top w:w="113" w:type="dxa"/>
              <w:left w:w="28" w:type="dxa"/>
              <w:bottom w:w="113" w:type="dxa"/>
              <w:right w:w="28" w:type="dxa"/>
            </w:tcMar>
          </w:tcPr>
          <w:p w14:paraId="5396DE89"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DE4129F" w14:textId="77777777" w:rsidR="004A7EDA" w:rsidRPr="004A7EDA" w:rsidRDefault="004A7EDA" w:rsidP="00286AE3">
            <w:pPr>
              <w:pStyle w:val="TableCopy"/>
              <w:rPr>
                <w:lang w:val="en-GB"/>
              </w:rPr>
            </w:pPr>
            <w:r w:rsidRPr="004A7EDA">
              <w:rPr>
                <w:lang w:val="en-GB"/>
              </w:rPr>
              <w:t>140</w:t>
            </w:r>
          </w:p>
        </w:tc>
        <w:tc>
          <w:tcPr>
            <w:tcW w:w="964" w:type="dxa"/>
            <w:shd w:val="clear" w:color="auto" w:fill="auto"/>
            <w:tcMar>
              <w:top w:w="113" w:type="dxa"/>
              <w:left w:w="28" w:type="dxa"/>
              <w:bottom w:w="113" w:type="dxa"/>
              <w:right w:w="28" w:type="dxa"/>
            </w:tcMar>
          </w:tcPr>
          <w:p w14:paraId="11AB4A56" w14:textId="77777777" w:rsidR="004A7EDA" w:rsidRPr="004A7EDA" w:rsidRDefault="004A7EDA" w:rsidP="00286AE3">
            <w:pPr>
              <w:pStyle w:val="TableCopy"/>
              <w:rPr>
                <w:lang w:val="en-GB"/>
              </w:rPr>
            </w:pPr>
            <w:r w:rsidRPr="004A7EDA">
              <w:rPr>
                <w:lang w:val="en-GB"/>
              </w:rPr>
              <w:t>140</w:t>
            </w:r>
          </w:p>
        </w:tc>
        <w:tc>
          <w:tcPr>
            <w:tcW w:w="1304" w:type="dxa"/>
            <w:shd w:val="clear" w:color="auto" w:fill="auto"/>
            <w:tcMar>
              <w:top w:w="113" w:type="dxa"/>
              <w:left w:w="28" w:type="dxa"/>
              <w:bottom w:w="113" w:type="dxa"/>
              <w:right w:w="28" w:type="dxa"/>
            </w:tcMar>
          </w:tcPr>
          <w:p w14:paraId="734F8048"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4BF94F74" w14:textId="748617AC" w:rsidR="004A7EDA" w:rsidRPr="004A7EDA" w:rsidRDefault="00120E9E" w:rsidP="00286AE3">
            <w:pPr>
              <w:pStyle w:val="TableCopy"/>
              <w:rPr>
                <w:lang w:val="en-GB"/>
              </w:rPr>
            </w:pPr>
            <w:r>
              <w:rPr>
                <w:lang w:val="en-GB"/>
              </w:rPr>
              <w:t>*</w:t>
            </w:r>
          </w:p>
        </w:tc>
      </w:tr>
      <w:tr w:rsidR="004A7EDA" w:rsidRPr="004A7EDA" w14:paraId="4E4E9F33" w14:textId="77777777" w:rsidTr="00773C3E">
        <w:trPr>
          <w:trHeight w:val="113"/>
        </w:trPr>
        <w:tc>
          <w:tcPr>
            <w:tcW w:w="4479" w:type="dxa"/>
            <w:shd w:val="clear" w:color="auto" w:fill="auto"/>
            <w:tcMar>
              <w:top w:w="113" w:type="dxa"/>
              <w:left w:w="28" w:type="dxa"/>
              <w:bottom w:w="113" w:type="dxa"/>
              <w:right w:w="28" w:type="dxa"/>
            </w:tcMar>
          </w:tcPr>
          <w:p w14:paraId="19D0DB8C" w14:textId="77777777" w:rsidR="004A7EDA" w:rsidRPr="004A7EDA" w:rsidRDefault="004A7EDA" w:rsidP="00286AE3">
            <w:pPr>
              <w:pStyle w:val="TableCopy"/>
              <w:rPr>
                <w:lang w:val="en-GB"/>
              </w:rPr>
            </w:pPr>
            <w:r w:rsidRPr="004A7EDA">
              <w:rPr>
                <w:lang w:val="en-GB"/>
              </w:rPr>
              <w:t>Project companies and artists funded</w:t>
            </w:r>
          </w:p>
        </w:tc>
        <w:tc>
          <w:tcPr>
            <w:tcW w:w="964" w:type="dxa"/>
            <w:shd w:val="clear" w:color="auto" w:fill="auto"/>
            <w:tcMar>
              <w:top w:w="113" w:type="dxa"/>
              <w:left w:w="28" w:type="dxa"/>
              <w:bottom w:w="113" w:type="dxa"/>
              <w:right w:w="28" w:type="dxa"/>
            </w:tcMar>
          </w:tcPr>
          <w:p w14:paraId="7C834713"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34A8D1A" w14:textId="77777777" w:rsidR="004A7EDA" w:rsidRPr="004A7EDA" w:rsidRDefault="004A7EDA" w:rsidP="00286AE3">
            <w:pPr>
              <w:pStyle w:val="TableCopy"/>
              <w:rPr>
                <w:lang w:val="en-GB"/>
              </w:rPr>
            </w:pPr>
            <w:r w:rsidRPr="004A7EDA">
              <w:rPr>
                <w:lang w:val="en-GB"/>
              </w:rPr>
              <w:t>903</w:t>
            </w:r>
          </w:p>
        </w:tc>
        <w:tc>
          <w:tcPr>
            <w:tcW w:w="964" w:type="dxa"/>
            <w:shd w:val="clear" w:color="auto" w:fill="auto"/>
            <w:tcMar>
              <w:top w:w="113" w:type="dxa"/>
              <w:left w:w="28" w:type="dxa"/>
              <w:bottom w:w="113" w:type="dxa"/>
              <w:right w:w="28" w:type="dxa"/>
            </w:tcMar>
          </w:tcPr>
          <w:p w14:paraId="6E13F92E" w14:textId="77777777" w:rsidR="004A7EDA" w:rsidRPr="004A7EDA" w:rsidRDefault="004A7EDA" w:rsidP="00286AE3">
            <w:pPr>
              <w:pStyle w:val="TableCopy"/>
              <w:rPr>
                <w:lang w:val="en-GB"/>
              </w:rPr>
            </w:pPr>
            <w:r w:rsidRPr="004A7EDA">
              <w:rPr>
                <w:lang w:val="en-GB"/>
              </w:rPr>
              <w:t>900</w:t>
            </w:r>
          </w:p>
        </w:tc>
        <w:tc>
          <w:tcPr>
            <w:tcW w:w="1304" w:type="dxa"/>
            <w:shd w:val="clear" w:color="auto" w:fill="auto"/>
            <w:tcMar>
              <w:top w:w="113" w:type="dxa"/>
              <w:left w:w="28" w:type="dxa"/>
              <w:bottom w:w="113" w:type="dxa"/>
              <w:right w:w="28" w:type="dxa"/>
            </w:tcMar>
          </w:tcPr>
          <w:p w14:paraId="0F4B58A5" w14:textId="77777777" w:rsidR="004A7EDA" w:rsidRPr="004A7EDA" w:rsidRDefault="004A7EDA" w:rsidP="00286AE3">
            <w:pPr>
              <w:pStyle w:val="TableCopy"/>
              <w:rPr>
                <w:lang w:val="en-GB"/>
              </w:rPr>
            </w:pPr>
            <w:r w:rsidRPr="004A7EDA">
              <w:rPr>
                <w:lang w:val="en-GB"/>
              </w:rPr>
              <w:t>0.3%</w:t>
            </w:r>
          </w:p>
        </w:tc>
        <w:tc>
          <w:tcPr>
            <w:tcW w:w="964" w:type="dxa"/>
            <w:shd w:val="clear" w:color="auto" w:fill="auto"/>
            <w:tcMar>
              <w:top w:w="113" w:type="dxa"/>
              <w:left w:w="28" w:type="dxa"/>
              <w:bottom w:w="113" w:type="dxa"/>
              <w:right w:w="28" w:type="dxa"/>
            </w:tcMar>
          </w:tcPr>
          <w:p w14:paraId="58945A07" w14:textId="29BF13FA" w:rsidR="004A7EDA" w:rsidRPr="004A7EDA" w:rsidRDefault="00120E9E" w:rsidP="00286AE3">
            <w:pPr>
              <w:pStyle w:val="TableCopy"/>
              <w:rPr>
                <w:lang w:val="en-GB"/>
              </w:rPr>
            </w:pPr>
            <w:r>
              <w:rPr>
                <w:lang w:val="en-GB"/>
              </w:rPr>
              <w:t>*</w:t>
            </w:r>
          </w:p>
        </w:tc>
      </w:tr>
      <w:tr w:rsidR="004A7EDA" w:rsidRPr="004A7EDA" w14:paraId="18FE4352" w14:textId="77777777" w:rsidTr="00773C3E">
        <w:trPr>
          <w:trHeight w:val="113"/>
        </w:trPr>
        <w:tc>
          <w:tcPr>
            <w:tcW w:w="4479" w:type="dxa"/>
            <w:shd w:val="clear" w:color="auto" w:fill="auto"/>
            <w:tcMar>
              <w:top w:w="113" w:type="dxa"/>
              <w:left w:w="28" w:type="dxa"/>
              <w:bottom w:w="113" w:type="dxa"/>
              <w:right w:w="28" w:type="dxa"/>
            </w:tcMar>
          </w:tcPr>
          <w:p w14:paraId="393E4D81" w14:textId="77777777" w:rsidR="004A7EDA" w:rsidRPr="004A7EDA" w:rsidRDefault="004A7EDA" w:rsidP="00286AE3">
            <w:pPr>
              <w:pStyle w:val="TableCopy"/>
              <w:rPr>
                <w:lang w:val="en-GB"/>
              </w:rPr>
            </w:pPr>
            <w:r w:rsidRPr="004A7EDA">
              <w:rPr>
                <w:lang w:val="en-GB"/>
              </w:rPr>
              <w:t>Project companies and artists funded which are regionally based</w:t>
            </w:r>
          </w:p>
        </w:tc>
        <w:tc>
          <w:tcPr>
            <w:tcW w:w="964" w:type="dxa"/>
            <w:shd w:val="clear" w:color="auto" w:fill="auto"/>
            <w:tcMar>
              <w:top w:w="113" w:type="dxa"/>
              <w:left w:w="28" w:type="dxa"/>
              <w:bottom w:w="113" w:type="dxa"/>
              <w:right w:w="28" w:type="dxa"/>
            </w:tcMar>
          </w:tcPr>
          <w:p w14:paraId="26302FDF"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21A947F8" w14:textId="77777777" w:rsidR="004A7EDA" w:rsidRPr="004A7EDA" w:rsidRDefault="004A7EDA" w:rsidP="00286AE3">
            <w:pPr>
              <w:pStyle w:val="TableCopy"/>
              <w:rPr>
                <w:lang w:val="en-GB"/>
              </w:rPr>
            </w:pPr>
            <w:r w:rsidRPr="004A7EDA">
              <w:rPr>
                <w:lang w:val="en-GB"/>
              </w:rPr>
              <w:t>21.2</w:t>
            </w:r>
          </w:p>
        </w:tc>
        <w:tc>
          <w:tcPr>
            <w:tcW w:w="964" w:type="dxa"/>
            <w:shd w:val="clear" w:color="auto" w:fill="auto"/>
            <w:tcMar>
              <w:top w:w="113" w:type="dxa"/>
              <w:left w:w="28" w:type="dxa"/>
              <w:bottom w:w="113" w:type="dxa"/>
              <w:right w:w="28" w:type="dxa"/>
            </w:tcMar>
          </w:tcPr>
          <w:p w14:paraId="763AB348" w14:textId="77777777" w:rsidR="004A7EDA" w:rsidRPr="004A7EDA" w:rsidRDefault="004A7EDA" w:rsidP="00286AE3">
            <w:pPr>
              <w:pStyle w:val="TableCopy"/>
              <w:rPr>
                <w:lang w:val="en-GB"/>
              </w:rPr>
            </w:pPr>
            <w:r w:rsidRPr="004A7EDA">
              <w:rPr>
                <w:lang w:val="en-GB"/>
              </w:rPr>
              <w:t>23</w:t>
            </w:r>
          </w:p>
        </w:tc>
        <w:tc>
          <w:tcPr>
            <w:tcW w:w="1304" w:type="dxa"/>
            <w:shd w:val="clear" w:color="auto" w:fill="auto"/>
            <w:tcMar>
              <w:top w:w="113" w:type="dxa"/>
              <w:left w:w="28" w:type="dxa"/>
              <w:bottom w:w="113" w:type="dxa"/>
              <w:right w:w="28" w:type="dxa"/>
            </w:tcMar>
          </w:tcPr>
          <w:p w14:paraId="44FCC838" w14:textId="77777777" w:rsidR="004A7EDA" w:rsidRPr="004A7EDA" w:rsidRDefault="004A7EDA" w:rsidP="00286AE3">
            <w:pPr>
              <w:pStyle w:val="TableCopy"/>
              <w:rPr>
                <w:lang w:val="en-GB"/>
              </w:rPr>
            </w:pPr>
            <w:r w:rsidRPr="004A7EDA">
              <w:rPr>
                <w:lang w:val="en-GB"/>
              </w:rPr>
              <w:t>-7.8%</w:t>
            </w:r>
          </w:p>
        </w:tc>
        <w:tc>
          <w:tcPr>
            <w:tcW w:w="964" w:type="dxa"/>
            <w:shd w:val="clear" w:color="auto" w:fill="auto"/>
            <w:tcMar>
              <w:top w:w="113" w:type="dxa"/>
              <w:left w:w="28" w:type="dxa"/>
              <w:bottom w:w="113" w:type="dxa"/>
              <w:right w:w="28" w:type="dxa"/>
            </w:tcMar>
          </w:tcPr>
          <w:p w14:paraId="3099D7F3" w14:textId="1A18DD47" w:rsidR="004A7EDA" w:rsidRPr="004A7EDA" w:rsidRDefault="00120E9E" w:rsidP="00286AE3">
            <w:pPr>
              <w:pStyle w:val="TableCopy"/>
              <w:rPr>
                <w:lang w:val="en-GB"/>
              </w:rPr>
            </w:pPr>
            <w:r>
              <w:rPr>
                <w:lang w:val="en-GB"/>
              </w:rPr>
              <w:t>#</w:t>
            </w:r>
          </w:p>
        </w:tc>
      </w:tr>
      <w:tr w:rsidR="004A7EDA" w:rsidRPr="004A7EDA" w14:paraId="7F1CEBFD" w14:textId="77777777" w:rsidTr="00773C3E">
        <w:trPr>
          <w:trHeight w:val="113"/>
        </w:trPr>
        <w:tc>
          <w:tcPr>
            <w:tcW w:w="9638" w:type="dxa"/>
            <w:gridSpan w:val="6"/>
            <w:shd w:val="clear" w:color="auto" w:fill="auto"/>
            <w:tcMar>
              <w:top w:w="113" w:type="dxa"/>
              <w:left w:w="113" w:type="dxa"/>
              <w:bottom w:w="113" w:type="dxa"/>
              <w:right w:w="113" w:type="dxa"/>
            </w:tcMar>
          </w:tcPr>
          <w:p w14:paraId="6D69638C" w14:textId="77777777" w:rsidR="004A7EDA" w:rsidRPr="004A7EDA" w:rsidRDefault="004A7EDA" w:rsidP="00286AE3">
            <w:pPr>
              <w:pStyle w:val="TableCopy"/>
            </w:pPr>
            <w:r w:rsidRPr="004A7EDA">
              <w:t xml:space="preserve">Lower result reflects the impact of additional COVID-19 support to metro-based companies and creative workers </w:t>
            </w:r>
            <w:proofErr w:type="gramStart"/>
            <w:r w:rsidRPr="004A7EDA">
              <w:t>as a result of</w:t>
            </w:r>
            <w:proofErr w:type="gramEnd"/>
            <w:r w:rsidRPr="004A7EDA">
              <w:t xml:space="preserve"> more significant restrictions, particularly the Live Music sector.</w:t>
            </w:r>
          </w:p>
        </w:tc>
      </w:tr>
      <w:tr w:rsidR="004A7EDA" w:rsidRPr="004A7EDA" w14:paraId="4C9D0529" w14:textId="77777777" w:rsidTr="00773C3E">
        <w:trPr>
          <w:trHeight w:val="113"/>
        </w:trPr>
        <w:tc>
          <w:tcPr>
            <w:tcW w:w="4479" w:type="dxa"/>
            <w:shd w:val="clear" w:color="auto" w:fill="auto"/>
            <w:tcMar>
              <w:top w:w="113" w:type="dxa"/>
              <w:left w:w="28" w:type="dxa"/>
              <w:bottom w:w="113" w:type="dxa"/>
              <w:right w:w="28" w:type="dxa"/>
            </w:tcMar>
          </w:tcPr>
          <w:p w14:paraId="13964C1D" w14:textId="77777777" w:rsidR="004A7EDA" w:rsidRPr="004A7EDA" w:rsidRDefault="004A7EDA" w:rsidP="00286AE3">
            <w:pPr>
              <w:pStyle w:val="TableCopy"/>
              <w:rPr>
                <w:lang w:val="en-GB"/>
              </w:rPr>
            </w:pPr>
            <w:r w:rsidRPr="004A7EDA">
              <w:rPr>
                <w:lang w:val="en-GB"/>
              </w:rPr>
              <w:lastRenderedPageBreak/>
              <w:t>Regionally based organisations recurrently funded</w:t>
            </w:r>
          </w:p>
        </w:tc>
        <w:tc>
          <w:tcPr>
            <w:tcW w:w="964" w:type="dxa"/>
            <w:shd w:val="clear" w:color="auto" w:fill="auto"/>
            <w:tcMar>
              <w:top w:w="113" w:type="dxa"/>
              <w:left w:w="28" w:type="dxa"/>
              <w:bottom w:w="113" w:type="dxa"/>
              <w:right w:w="28" w:type="dxa"/>
            </w:tcMar>
          </w:tcPr>
          <w:p w14:paraId="07F2AA1D"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0374C925" w14:textId="77777777" w:rsidR="004A7EDA" w:rsidRPr="004A7EDA" w:rsidRDefault="004A7EDA" w:rsidP="00286AE3">
            <w:pPr>
              <w:pStyle w:val="TableCopy"/>
              <w:rPr>
                <w:lang w:val="en-GB"/>
              </w:rPr>
            </w:pPr>
            <w:r w:rsidRPr="004A7EDA">
              <w:rPr>
                <w:lang w:val="en-GB"/>
              </w:rPr>
              <w:t>53</w:t>
            </w:r>
          </w:p>
        </w:tc>
        <w:tc>
          <w:tcPr>
            <w:tcW w:w="964" w:type="dxa"/>
            <w:shd w:val="clear" w:color="auto" w:fill="auto"/>
            <w:tcMar>
              <w:top w:w="113" w:type="dxa"/>
              <w:left w:w="28" w:type="dxa"/>
              <w:bottom w:w="113" w:type="dxa"/>
              <w:right w:w="28" w:type="dxa"/>
            </w:tcMar>
          </w:tcPr>
          <w:p w14:paraId="3255432B" w14:textId="77777777" w:rsidR="004A7EDA" w:rsidRPr="004A7EDA" w:rsidRDefault="004A7EDA" w:rsidP="00286AE3">
            <w:pPr>
              <w:pStyle w:val="TableCopy"/>
              <w:rPr>
                <w:lang w:val="en-GB"/>
              </w:rPr>
            </w:pPr>
            <w:r w:rsidRPr="004A7EDA">
              <w:rPr>
                <w:lang w:val="en-GB"/>
              </w:rPr>
              <w:t>54</w:t>
            </w:r>
          </w:p>
        </w:tc>
        <w:tc>
          <w:tcPr>
            <w:tcW w:w="1304" w:type="dxa"/>
            <w:shd w:val="clear" w:color="auto" w:fill="auto"/>
            <w:tcMar>
              <w:top w:w="113" w:type="dxa"/>
              <w:left w:w="28" w:type="dxa"/>
              <w:bottom w:w="113" w:type="dxa"/>
              <w:right w:w="28" w:type="dxa"/>
            </w:tcMar>
          </w:tcPr>
          <w:p w14:paraId="0BFEA157" w14:textId="77777777" w:rsidR="004A7EDA" w:rsidRPr="004A7EDA" w:rsidRDefault="004A7EDA" w:rsidP="00286AE3">
            <w:pPr>
              <w:pStyle w:val="TableCopy"/>
              <w:rPr>
                <w:lang w:val="en-GB"/>
              </w:rPr>
            </w:pPr>
            <w:r w:rsidRPr="004A7EDA">
              <w:rPr>
                <w:lang w:val="en-GB"/>
              </w:rPr>
              <w:t>-1.9%</w:t>
            </w:r>
          </w:p>
        </w:tc>
        <w:tc>
          <w:tcPr>
            <w:tcW w:w="964" w:type="dxa"/>
            <w:shd w:val="clear" w:color="auto" w:fill="auto"/>
            <w:tcMar>
              <w:top w:w="113" w:type="dxa"/>
              <w:left w:w="28" w:type="dxa"/>
              <w:bottom w:w="113" w:type="dxa"/>
              <w:right w:w="28" w:type="dxa"/>
            </w:tcMar>
          </w:tcPr>
          <w:p w14:paraId="42803C7B" w14:textId="55B4233D" w:rsidR="004A7EDA" w:rsidRPr="004A7EDA" w:rsidRDefault="00120E9E" w:rsidP="00286AE3">
            <w:pPr>
              <w:pStyle w:val="TableCopy"/>
              <w:rPr>
                <w:lang w:val="en-GB"/>
              </w:rPr>
            </w:pPr>
            <w:r>
              <w:rPr>
                <w:lang w:val="en-GB"/>
              </w:rPr>
              <w:t>–</w:t>
            </w:r>
          </w:p>
        </w:tc>
      </w:tr>
      <w:tr w:rsidR="004A7EDA" w:rsidRPr="004A7EDA" w14:paraId="14E7CC80" w14:textId="77777777" w:rsidTr="00773C3E">
        <w:trPr>
          <w:trHeight w:val="113"/>
        </w:trPr>
        <w:tc>
          <w:tcPr>
            <w:tcW w:w="9638" w:type="dxa"/>
            <w:gridSpan w:val="6"/>
            <w:shd w:val="clear" w:color="auto" w:fill="auto"/>
            <w:tcMar>
              <w:top w:w="113" w:type="dxa"/>
              <w:left w:w="28" w:type="dxa"/>
              <w:bottom w:w="113" w:type="dxa"/>
              <w:right w:w="28" w:type="dxa"/>
            </w:tcMar>
          </w:tcPr>
          <w:p w14:paraId="3EDBE4DD" w14:textId="77777777" w:rsidR="004A7EDA" w:rsidRPr="004A7EDA" w:rsidRDefault="004A7EDA" w:rsidP="00286AE3">
            <w:pPr>
              <w:pStyle w:val="TableCopy"/>
              <w:rPr>
                <w:lang w:val="en-GB"/>
              </w:rPr>
            </w:pPr>
            <w:r w:rsidRPr="004A7EDA">
              <w:rPr>
                <w:lang w:val="en-GB"/>
              </w:rPr>
              <w:t>Quality</w:t>
            </w:r>
          </w:p>
        </w:tc>
      </w:tr>
      <w:tr w:rsidR="004A7EDA" w:rsidRPr="004A7EDA" w14:paraId="438C7CD9" w14:textId="77777777" w:rsidTr="00773C3E">
        <w:trPr>
          <w:trHeight w:val="113"/>
        </w:trPr>
        <w:tc>
          <w:tcPr>
            <w:tcW w:w="4479" w:type="dxa"/>
            <w:shd w:val="clear" w:color="auto" w:fill="auto"/>
            <w:tcMar>
              <w:top w:w="113" w:type="dxa"/>
              <w:left w:w="28" w:type="dxa"/>
              <w:bottom w:w="113" w:type="dxa"/>
              <w:right w:w="28" w:type="dxa"/>
            </w:tcMar>
          </w:tcPr>
          <w:p w14:paraId="1B9D18A7" w14:textId="77777777" w:rsidR="004A7EDA" w:rsidRPr="004A7EDA" w:rsidRDefault="004A7EDA" w:rsidP="00286AE3">
            <w:pPr>
              <w:pStyle w:val="TableCopy"/>
              <w:rPr>
                <w:lang w:val="en-GB"/>
              </w:rPr>
            </w:pPr>
            <w:r w:rsidRPr="004A7EDA">
              <w:rPr>
                <w:lang w:val="en-GB"/>
              </w:rPr>
              <w:t>Creative Victoria grant recipients who met or exceeded agreed milestones</w:t>
            </w:r>
          </w:p>
        </w:tc>
        <w:tc>
          <w:tcPr>
            <w:tcW w:w="964" w:type="dxa"/>
            <w:shd w:val="clear" w:color="auto" w:fill="auto"/>
            <w:tcMar>
              <w:top w:w="113" w:type="dxa"/>
              <w:left w:w="28" w:type="dxa"/>
              <w:bottom w:w="113" w:type="dxa"/>
              <w:right w:w="28" w:type="dxa"/>
            </w:tcMar>
          </w:tcPr>
          <w:p w14:paraId="74C78373"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250AC93E" w14:textId="77777777" w:rsidR="004A7EDA" w:rsidRPr="004A7EDA" w:rsidRDefault="004A7EDA" w:rsidP="00286AE3">
            <w:pPr>
              <w:pStyle w:val="TableCopy"/>
              <w:rPr>
                <w:lang w:val="en-GB"/>
              </w:rPr>
            </w:pPr>
            <w:r w:rsidRPr="004A7EDA">
              <w:rPr>
                <w:lang w:val="en-GB"/>
              </w:rPr>
              <w:t>81</w:t>
            </w:r>
          </w:p>
        </w:tc>
        <w:tc>
          <w:tcPr>
            <w:tcW w:w="964" w:type="dxa"/>
            <w:shd w:val="clear" w:color="auto" w:fill="auto"/>
            <w:tcMar>
              <w:top w:w="113" w:type="dxa"/>
              <w:left w:w="28" w:type="dxa"/>
              <w:bottom w:w="113" w:type="dxa"/>
              <w:right w:w="28" w:type="dxa"/>
            </w:tcMar>
          </w:tcPr>
          <w:p w14:paraId="29D709BF" w14:textId="77777777" w:rsidR="004A7EDA" w:rsidRPr="004A7EDA" w:rsidRDefault="004A7EDA" w:rsidP="00286AE3">
            <w:pPr>
              <w:pStyle w:val="TableCopy"/>
              <w:rPr>
                <w:lang w:val="en-GB"/>
              </w:rPr>
            </w:pPr>
            <w:r w:rsidRPr="004A7EDA">
              <w:rPr>
                <w:lang w:val="en-GB"/>
              </w:rPr>
              <w:t>85</w:t>
            </w:r>
          </w:p>
        </w:tc>
        <w:tc>
          <w:tcPr>
            <w:tcW w:w="1304" w:type="dxa"/>
            <w:shd w:val="clear" w:color="auto" w:fill="auto"/>
            <w:tcMar>
              <w:top w:w="113" w:type="dxa"/>
              <w:left w:w="28" w:type="dxa"/>
              <w:bottom w:w="113" w:type="dxa"/>
              <w:right w:w="28" w:type="dxa"/>
            </w:tcMar>
          </w:tcPr>
          <w:p w14:paraId="399D9D09" w14:textId="77777777" w:rsidR="004A7EDA" w:rsidRPr="004A7EDA" w:rsidRDefault="004A7EDA" w:rsidP="00286AE3">
            <w:pPr>
              <w:pStyle w:val="TableCopy"/>
              <w:rPr>
                <w:lang w:val="en-GB"/>
              </w:rPr>
            </w:pPr>
            <w:r w:rsidRPr="004A7EDA">
              <w:rPr>
                <w:lang w:val="en-GB"/>
              </w:rPr>
              <w:t>-4.7%</w:t>
            </w:r>
          </w:p>
        </w:tc>
        <w:tc>
          <w:tcPr>
            <w:tcW w:w="964" w:type="dxa"/>
            <w:shd w:val="clear" w:color="auto" w:fill="auto"/>
            <w:tcMar>
              <w:top w:w="113" w:type="dxa"/>
              <w:left w:w="28" w:type="dxa"/>
              <w:bottom w:w="113" w:type="dxa"/>
              <w:right w:w="28" w:type="dxa"/>
            </w:tcMar>
          </w:tcPr>
          <w:p w14:paraId="6E9E2208" w14:textId="00A19903" w:rsidR="004A7EDA" w:rsidRPr="004A7EDA" w:rsidRDefault="00120E9E" w:rsidP="00286AE3">
            <w:pPr>
              <w:pStyle w:val="TableCopy"/>
              <w:rPr>
                <w:lang w:val="en-GB"/>
              </w:rPr>
            </w:pPr>
            <w:r>
              <w:rPr>
                <w:lang w:val="en-GB"/>
              </w:rPr>
              <w:t>–</w:t>
            </w:r>
          </w:p>
        </w:tc>
      </w:tr>
      <w:tr w:rsidR="004A7EDA" w:rsidRPr="004A7EDA" w14:paraId="34714FA4" w14:textId="77777777" w:rsidTr="00773C3E">
        <w:trPr>
          <w:trHeight w:val="113"/>
        </w:trPr>
        <w:tc>
          <w:tcPr>
            <w:tcW w:w="4479" w:type="dxa"/>
            <w:shd w:val="clear" w:color="auto" w:fill="auto"/>
            <w:tcMar>
              <w:top w:w="113" w:type="dxa"/>
              <w:left w:w="28" w:type="dxa"/>
              <w:bottom w:w="113" w:type="dxa"/>
              <w:right w:w="28" w:type="dxa"/>
            </w:tcMar>
          </w:tcPr>
          <w:p w14:paraId="7F9E790E" w14:textId="77777777" w:rsidR="004A7EDA" w:rsidRPr="004A7EDA" w:rsidRDefault="004A7EDA" w:rsidP="00286AE3">
            <w:pPr>
              <w:pStyle w:val="TableCopy"/>
              <w:rPr>
                <w:lang w:val="en-GB"/>
              </w:rPr>
            </w:pPr>
            <w:r w:rsidRPr="004A7EDA">
              <w:rPr>
                <w:lang w:val="en-GB"/>
              </w:rPr>
              <w:t>Public information rated ‘informative’ or ‘very informative’ by grant applicants</w:t>
            </w:r>
          </w:p>
        </w:tc>
        <w:tc>
          <w:tcPr>
            <w:tcW w:w="964" w:type="dxa"/>
            <w:shd w:val="clear" w:color="auto" w:fill="auto"/>
            <w:tcMar>
              <w:top w:w="113" w:type="dxa"/>
              <w:left w:w="28" w:type="dxa"/>
              <w:bottom w:w="113" w:type="dxa"/>
              <w:right w:w="28" w:type="dxa"/>
            </w:tcMar>
          </w:tcPr>
          <w:p w14:paraId="7D970152"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251AB514" w14:textId="77777777" w:rsidR="004A7EDA" w:rsidRPr="004A7EDA" w:rsidRDefault="004A7EDA" w:rsidP="00286AE3">
            <w:pPr>
              <w:pStyle w:val="TableCopy"/>
              <w:rPr>
                <w:lang w:val="en-GB"/>
              </w:rPr>
            </w:pPr>
            <w:r w:rsidRPr="004A7EDA">
              <w:rPr>
                <w:lang w:val="en-GB"/>
              </w:rPr>
              <w:t>89.83</w:t>
            </w:r>
          </w:p>
        </w:tc>
        <w:tc>
          <w:tcPr>
            <w:tcW w:w="964" w:type="dxa"/>
            <w:shd w:val="clear" w:color="auto" w:fill="auto"/>
            <w:tcMar>
              <w:top w:w="113" w:type="dxa"/>
              <w:left w:w="28" w:type="dxa"/>
              <w:bottom w:w="113" w:type="dxa"/>
              <w:right w:w="28" w:type="dxa"/>
            </w:tcMar>
          </w:tcPr>
          <w:p w14:paraId="0CA197B6" w14:textId="77777777" w:rsidR="004A7EDA" w:rsidRPr="004A7EDA" w:rsidRDefault="004A7EDA" w:rsidP="00286AE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2E45D39F" w14:textId="77777777" w:rsidR="004A7EDA" w:rsidRPr="004A7EDA" w:rsidRDefault="004A7EDA" w:rsidP="00286AE3">
            <w:pPr>
              <w:pStyle w:val="TableCopy"/>
              <w:rPr>
                <w:lang w:val="en-GB"/>
              </w:rPr>
            </w:pPr>
            <w:r w:rsidRPr="004A7EDA">
              <w:rPr>
                <w:lang w:val="en-GB"/>
              </w:rPr>
              <w:t>-0.2%</w:t>
            </w:r>
          </w:p>
        </w:tc>
        <w:tc>
          <w:tcPr>
            <w:tcW w:w="964" w:type="dxa"/>
            <w:shd w:val="clear" w:color="auto" w:fill="auto"/>
            <w:tcMar>
              <w:top w:w="113" w:type="dxa"/>
              <w:left w:w="28" w:type="dxa"/>
              <w:bottom w:w="113" w:type="dxa"/>
              <w:right w:w="28" w:type="dxa"/>
            </w:tcMar>
          </w:tcPr>
          <w:p w14:paraId="47D43E92" w14:textId="601C057C" w:rsidR="004A7EDA" w:rsidRPr="004A7EDA" w:rsidRDefault="00120E9E" w:rsidP="00286AE3">
            <w:pPr>
              <w:pStyle w:val="TableCopy"/>
              <w:rPr>
                <w:lang w:val="en-GB"/>
              </w:rPr>
            </w:pPr>
            <w:r>
              <w:rPr>
                <w:lang w:val="en-GB"/>
              </w:rPr>
              <w:t>–</w:t>
            </w:r>
          </w:p>
        </w:tc>
      </w:tr>
      <w:tr w:rsidR="004A7EDA" w:rsidRPr="004A7EDA" w14:paraId="48B516FF" w14:textId="77777777" w:rsidTr="00773C3E">
        <w:trPr>
          <w:trHeight w:val="113"/>
        </w:trPr>
        <w:tc>
          <w:tcPr>
            <w:tcW w:w="9638" w:type="dxa"/>
            <w:gridSpan w:val="6"/>
            <w:shd w:val="clear" w:color="auto" w:fill="auto"/>
            <w:tcMar>
              <w:top w:w="113" w:type="dxa"/>
              <w:left w:w="28" w:type="dxa"/>
              <w:bottom w:w="113" w:type="dxa"/>
              <w:right w:w="28" w:type="dxa"/>
            </w:tcMar>
          </w:tcPr>
          <w:p w14:paraId="7A090FEE" w14:textId="77777777" w:rsidR="004A7EDA" w:rsidRPr="004A7EDA" w:rsidRDefault="004A7EDA" w:rsidP="00286AE3">
            <w:pPr>
              <w:pStyle w:val="TableCopy"/>
              <w:rPr>
                <w:lang w:val="en-GB"/>
              </w:rPr>
            </w:pPr>
            <w:r w:rsidRPr="004A7EDA">
              <w:rPr>
                <w:lang w:val="en-GB"/>
              </w:rPr>
              <w:t>Timeliness</w:t>
            </w:r>
          </w:p>
        </w:tc>
      </w:tr>
      <w:tr w:rsidR="004A7EDA" w:rsidRPr="004A7EDA" w14:paraId="21A97482" w14:textId="77777777" w:rsidTr="00773C3E">
        <w:trPr>
          <w:trHeight w:val="113"/>
        </w:trPr>
        <w:tc>
          <w:tcPr>
            <w:tcW w:w="4479" w:type="dxa"/>
            <w:shd w:val="clear" w:color="auto" w:fill="auto"/>
            <w:tcMar>
              <w:top w:w="113" w:type="dxa"/>
              <w:left w:w="28" w:type="dxa"/>
              <w:bottom w:w="113" w:type="dxa"/>
              <w:right w:w="28" w:type="dxa"/>
            </w:tcMar>
          </w:tcPr>
          <w:p w14:paraId="66400016" w14:textId="77777777" w:rsidR="004A7EDA" w:rsidRPr="004A7EDA" w:rsidRDefault="004A7EDA" w:rsidP="00286AE3">
            <w:pPr>
              <w:pStyle w:val="TableCopy"/>
              <w:rPr>
                <w:lang w:val="en-GB"/>
              </w:rPr>
            </w:pPr>
            <w:r w:rsidRPr="004A7EDA">
              <w:rPr>
                <w:lang w:val="en-GB"/>
              </w:rPr>
              <w:t>Performance and grant agreements acquitted within timeframes specified in the funding agreement</w:t>
            </w:r>
          </w:p>
        </w:tc>
        <w:tc>
          <w:tcPr>
            <w:tcW w:w="964" w:type="dxa"/>
            <w:shd w:val="clear" w:color="auto" w:fill="auto"/>
            <w:tcMar>
              <w:top w:w="113" w:type="dxa"/>
              <w:left w:w="28" w:type="dxa"/>
              <w:bottom w:w="113" w:type="dxa"/>
              <w:right w:w="28" w:type="dxa"/>
            </w:tcMar>
          </w:tcPr>
          <w:p w14:paraId="405048D3"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630691A7" w14:textId="77777777" w:rsidR="004A7EDA" w:rsidRPr="004A7EDA" w:rsidRDefault="004A7EDA" w:rsidP="00286AE3">
            <w:pPr>
              <w:pStyle w:val="TableCopy"/>
              <w:rPr>
                <w:lang w:val="en-GB"/>
              </w:rPr>
            </w:pPr>
            <w:r w:rsidRPr="004A7EDA">
              <w:rPr>
                <w:lang w:val="en-GB"/>
              </w:rPr>
              <w:t>86</w:t>
            </w:r>
          </w:p>
        </w:tc>
        <w:tc>
          <w:tcPr>
            <w:tcW w:w="964" w:type="dxa"/>
            <w:shd w:val="clear" w:color="auto" w:fill="auto"/>
            <w:tcMar>
              <w:top w:w="113" w:type="dxa"/>
              <w:left w:w="28" w:type="dxa"/>
              <w:bottom w:w="113" w:type="dxa"/>
              <w:right w:w="28" w:type="dxa"/>
            </w:tcMar>
          </w:tcPr>
          <w:p w14:paraId="0E0EAD0E" w14:textId="77777777" w:rsidR="004A7EDA" w:rsidRPr="004A7EDA" w:rsidRDefault="004A7EDA" w:rsidP="00286AE3">
            <w:pPr>
              <w:pStyle w:val="TableCopy"/>
              <w:rPr>
                <w:lang w:val="en-GB"/>
              </w:rPr>
            </w:pPr>
            <w:r w:rsidRPr="004A7EDA">
              <w:rPr>
                <w:lang w:val="en-GB"/>
              </w:rPr>
              <w:t>83</w:t>
            </w:r>
          </w:p>
        </w:tc>
        <w:tc>
          <w:tcPr>
            <w:tcW w:w="1304" w:type="dxa"/>
            <w:shd w:val="clear" w:color="auto" w:fill="auto"/>
            <w:tcMar>
              <w:top w:w="113" w:type="dxa"/>
              <w:left w:w="28" w:type="dxa"/>
              <w:bottom w:w="113" w:type="dxa"/>
              <w:right w:w="28" w:type="dxa"/>
            </w:tcMar>
          </w:tcPr>
          <w:p w14:paraId="6411AF73" w14:textId="77777777" w:rsidR="004A7EDA" w:rsidRPr="004A7EDA" w:rsidRDefault="004A7EDA" w:rsidP="00286AE3">
            <w:pPr>
              <w:pStyle w:val="TableCopy"/>
              <w:rPr>
                <w:lang w:val="en-GB"/>
              </w:rPr>
            </w:pPr>
            <w:r w:rsidRPr="004A7EDA">
              <w:rPr>
                <w:lang w:val="en-GB"/>
              </w:rPr>
              <w:t>3.6%</w:t>
            </w:r>
          </w:p>
        </w:tc>
        <w:tc>
          <w:tcPr>
            <w:tcW w:w="964" w:type="dxa"/>
            <w:shd w:val="clear" w:color="auto" w:fill="auto"/>
            <w:tcMar>
              <w:top w:w="113" w:type="dxa"/>
              <w:left w:w="28" w:type="dxa"/>
              <w:bottom w:w="113" w:type="dxa"/>
              <w:right w:w="28" w:type="dxa"/>
            </w:tcMar>
          </w:tcPr>
          <w:p w14:paraId="1584C5EB" w14:textId="7C5014D9" w:rsidR="004A7EDA" w:rsidRPr="004A7EDA" w:rsidRDefault="00120E9E" w:rsidP="00286AE3">
            <w:pPr>
              <w:pStyle w:val="TableCopy"/>
              <w:rPr>
                <w:lang w:val="en-GB"/>
              </w:rPr>
            </w:pPr>
            <w:r>
              <w:rPr>
                <w:lang w:val="en-GB"/>
              </w:rPr>
              <w:t>*</w:t>
            </w:r>
          </w:p>
        </w:tc>
      </w:tr>
      <w:tr w:rsidR="004A7EDA" w:rsidRPr="004A7EDA" w14:paraId="62300930" w14:textId="77777777" w:rsidTr="00773C3E">
        <w:trPr>
          <w:trHeight w:val="113"/>
        </w:trPr>
        <w:tc>
          <w:tcPr>
            <w:tcW w:w="4479" w:type="dxa"/>
            <w:shd w:val="clear" w:color="auto" w:fill="auto"/>
            <w:tcMar>
              <w:top w:w="113" w:type="dxa"/>
              <w:left w:w="28" w:type="dxa"/>
              <w:bottom w:w="113" w:type="dxa"/>
              <w:right w:w="28" w:type="dxa"/>
            </w:tcMar>
          </w:tcPr>
          <w:p w14:paraId="7CE7522D" w14:textId="77777777" w:rsidR="004A7EDA" w:rsidRPr="004A7EDA" w:rsidRDefault="004A7EDA" w:rsidP="00286AE3">
            <w:pPr>
              <w:pStyle w:val="TableCopy"/>
              <w:rPr>
                <w:lang w:val="en-GB"/>
              </w:rPr>
            </w:pPr>
            <w:r w:rsidRPr="004A7EDA">
              <w:rPr>
                <w:lang w:val="en-GB"/>
              </w:rPr>
              <w:t>VicArts Grant acquittals assessed within 30 days</w:t>
            </w:r>
            <w:r w:rsidRPr="004A7EDA">
              <w:rPr>
                <w:lang w:val="en-GB"/>
              </w:rPr>
              <w:br/>
              <w:t>of submission date</w:t>
            </w:r>
          </w:p>
        </w:tc>
        <w:tc>
          <w:tcPr>
            <w:tcW w:w="964" w:type="dxa"/>
            <w:shd w:val="clear" w:color="auto" w:fill="auto"/>
            <w:tcMar>
              <w:top w:w="113" w:type="dxa"/>
              <w:left w:w="28" w:type="dxa"/>
              <w:bottom w:w="113" w:type="dxa"/>
              <w:right w:w="28" w:type="dxa"/>
            </w:tcMar>
          </w:tcPr>
          <w:p w14:paraId="514875F8"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63E27B0A" w14:textId="77777777" w:rsidR="004A7EDA" w:rsidRPr="004A7EDA" w:rsidRDefault="004A7EDA" w:rsidP="00286AE3">
            <w:pPr>
              <w:pStyle w:val="TableCopy"/>
              <w:rPr>
                <w:lang w:val="en-GB"/>
              </w:rPr>
            </w:pPr>
            <w:r w:rsidRPr="004A7EDA">
              <w:rPr>
                <w:lang w:val="en-GB"/>
              </w:rPr>
              <w:t>98</w:t>
            </w:r>
          </w:p>
        </w:tc>
        <w:tc>
          <w:tcPr>
            <w:tcW w:w="964" w:type="dxa"/>
            <w:shd w:val="clear" w:color="auto" w:fill="auto"/>
            <w:tcMar>
              <w:top w:w="113" w:type="dxa"/>
              <w:left w:w="28" w:type="dxa"/>
              <w:bottom w:w="113" w:type="dxa"/>
              <w:right w:w="28" w:type="dxa"/>
            </w:tcMar>
          </w:tcPr>
          <w:p w14:paraId="02972792" w14:textId="77777777" w:rsidR="004A7EDA" w:rsidRPr="004A7EDA" w:rsidRDefault="004A7EDA" w:rsidP="00286AE3">
            <w:pPr>
              <w:pStyle w:val="TableCopy"/>
              <w:rPr>
                <w:lang w:val="en-GB"/>
              </w:rPr>
            </w:pPr>
            <w:r w:rsidRPr="004A7EDA">
              <w:rPr>
                <w:lang w:val="en-GB"/>
              </w:rPr>
              <w:t>95</w:t>
            </w:r>
          </w:p>
        </w:tc>
        <w:tc>
          <w:tcPr>
            <w:tcW w:w="1304" w:type="dxa"/>
            <w:shd w:val="clear" w:color="auto" w:fill="auto"/>
            <w:tcMar>
              <w:top w:w="113" w:type="dxa"/>
              <w:left w:w="28" w:type="dxa"/>
              <w:bottom w:w="113" w:type="dxa"/>
              <w:right w:w="28" w:type="dxa"/>
            </w:tcMar>
          </w:tcPr>
          <w:p w14:paraId="7BD5C5F5" w14:textId="77777777" w:rsidR="004A7EDA" w:rsidRPr="004A7EDA" w:rsidRDefault="004A7EDA" w:rsidP="00286AE3">
            <w:pPr>
              <w:pStyle w:val="TableCopy"/>
              <w:rPr>
                <w:lang w:val="en-GB"/>
              </w:rPr>
            </w:pPr>
            <w:r w:rsidRPr="004A7EDA">
              <w:rPr>
                <w:lang w:val="en-GB"/>
              </w:rPr>
              <w:t>3.2%</w:t>
            </w:r>
          </w:p>
        </w:tc>
        <w:tc>
          <w:tcPr>
            <w:tcW w:w="964" w:type="dxa"/>
            <w:shd w:val="clear" w:color="auto" w:fill="auto"/>
            <w:tcMar>
              <w:top w:w="113" w:type="dxa"/>
              <w:left w:w="28" w:type="dxa"/>
              <w:bottom w:w="113" w:type="dxa"/>
              <w:right w:w="28" w:type="dxa"/>
            </w:tcMar>
          </w:tcPr>
          <w:p w14:paraId="53183181" w14:textId="6F4D2AAF" w:rsidR="004A7EDA" w:rsidRPr="004A7EDA" w:rsidRDefault="00120E9E" w:rsidP="00286AE3">
            <w:pPr>
              <w:pStyle w:val="TableCopy"/>
              <w:rPr>
                <w:lang w:val="en-GB"/>
              </w:rPr>
            </w:pPr>
            <w:r>
              <w:rPr>
                <w:lang w:val="en-GB"/>
              </w:rPr>
              <w:t>*</w:t>
            </w:r>
          </w:p>
        </w:tc>
      </w:tr>
      <w:tr w:rsidR="004A7EDA" w:rsidRPr="004A7EDA" w14:paraId="19DB3F18" w14:textId="77777777" w:rsidTr="00773C3E">
        <w:trPr>
          <w:trHeight w:val="113"/>
        </w:trPr>
        <w:tc>
          <w:tcPr>
            <w:tcW w:w="4479" w:type="dxa"/>
            <w:shd w:val="clear" w:color="auto" w:fill="auto"/>
            <w:tcMar>
              <w:top w:w="113" w:type="dxa"/>
              <w:left w:w="28" w:type="dxa"/>
              <w:bottom w:w="113" w:type="dxa"/>
              <w:right w:w="28" w:type="dxa"/>
            </w:tcMar>
          </w:tcPr>
          <w:p w14:paraId="67DD62C8" w14:textId="77777777" w:rsidR="004A7EDA" w:rsidRPr="004A7EDA" w:rsidRDefault="004A7EDA" w:rsidP="00286AE3">
            <w:pPr>
              <w:pStyle w:val="TableCopy"/>
              <w:rPr>
                <w:lang w:val="en-GB"/>
              </w:rPr>
            </w:pPr>
            <w:r w:rsidRPr="004A7EDA">
              <w:rPr>
                <w:lang w:val="en-GB"/>
              </w:rPr>
              <w:t>VicArts Grant applications processed within 45 days</w:t>
            </w:r>
            <w:r w:rsidRPr="004A7EDA">
              <w:rPr>
                <w:lang w:val="en-GB"/>
              </w:rPr>
              <w:br/>
              <w:t>for Ministerial consideration</w:t>
            </w:r>
          </w:p>
        </w:tc>
        <w:tc>
          <w:tcPr>
            <w:tcW w:w="964" w:type="dxa"/>
            <w:shd w:val="clear" w:color="auto" w:fill="auto"/>
            <w:tcMar>
              <w:top w:w="113" w:type="dxa"/>
              <w:left w:w="28" w:type="dxa"/>
              <w:bottom w:w="113" w:type="dxa"/>
              <w:right w:w="28" w:type="dxa"/>
            </w:tcMar>
          </w:tcPr>
          <w:p w14:paraId="33238586"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74C62A9C" w14:textId="77777777" w:rsidR="004A7EDA" w:rsidRPr="004A7EDA" w:rsidRDefault="004A7EDA" w:rsidP="00286AE3">
            <w:pPr>
              <w:pStyle w:val="TableCopy"/>
              <w:rPr>
                <w:lang w:val="en-GB"/>
              </w:rPr>
            </w:pPr>
            <w:r w:rsidRPr="004A7EDA">
              <w:rPr>
                <w:lang w:val="en-GB"/>
              </w:rPr>
              <w:t>0</w:t>
            </w:r>
          </w:p>
        </w:tc>
        <w:tc>
          <w:tcPr>
            <w:tcW w:w="964" w:type="dxa"/>
            <w:shd w:val="clear" w:color="auto" w:fill="auto"/>
            <w:tcMar>
              <w:top w:w="113" w:type="dxa"/>
              <w:left w:w="28" w:type="dxa"/>
              <w:bottom w:w="113" w:type="dxa"/>
              <w:right w:w="28" w:type="dxa"/>
            </w:tcMar>
          </w:tcPr>
          <w:p w14:paraId="715DA711" w14:textId="77777777" w:rsidR="004A7EDA" w:rsidRPr="004A7EDA" w:rsidRDefault="004A7EDA" w:rsidP="00286AE3">
            <w:pPr>
              <w:pStyle w:val="TableCopy"/>
              <w:rPr>
                <w:lang w:val="en-GB"/>
              </w:rPr>
            </w:pPr>
            <w:r w:rsidRPr="004A7EDA">
              <w:rPr>
                <w:lang w:val="en-GB"/>
              </w:rPr>
              <w:t>100</w:t>
            </w:r>
          </w:p>
        </w:tc>
        <w:tc>
          <w:tcPr>
            <w:tcW w:w="1304" w:type="dxa"/>
            <w:shd w:val="clear" w:color="auto" w:fill="auto"/>
            <w:tcMar>
              <w:top w:w="113" w:type="dxa"/>
              <w:left w:w="28" w:type="dxa"/>
              <w:bottom w:w="113" w:type="dxa"/>
              <w:right w:w="28" w:type="dxa"/>
            </w:tcMar>
          </w:tcPr>
          <w:p w14:paraId="30DF35E1" w14:textId="77777777" w:rsidR="004A7EDA" w:rsidRPr="004A7EDA" w:rsidRDefault="004A7EDA" w:rsidP="00286AE3">
            <w:pPr>
              <w:pStyle w:val="TableCopy"/>
              <w:rPr>
                <w:lang w:val="en-GB"/>
              </w:rPr>
            </w:pPr>
            <w:r w:rsidRPr="004A7EDA">
              <w:rPr>
                <w:lang w:val="en-GB"/>
              </w:rPr>
              <w:t>-100.0%</w:t>
            </w:r>
          </w:p>
        </w:tc>
        <w:tc>
          <w:tcPr>
            <w:tcW w:w="964" w:type="dxa"/>
            <w:shd w:val="clear" w:color="auto" w:fill="auto"/>
            <w:tcMar>
              <w:top w:w="113" w:type="dxa"/>
              <w:left w:w="28" w:type="dxa"/>
              <w:bottom w:w="113" w:type="dxa"/>
              <w:right w:w="28" w:type="dxa"/>
            </w:tcMar>
          </w:tcPr>
          <w:p w14:paraId="7E22D891" w14:textId="490FB3F9" w:rsidR="004A7EDA" w:rsidRPr="004A7EDA" w:rsidRDefault="00120E9E" w:rsidP="00286AE3">
            <w:pPr>
              <w:pStyle w:val="TableCopy"/>
              <w:rPr>
                <w:lang w:val="en-GB"/>
              </w:rPr>
            </w:pPr>
            <w:r>
              <w:rPr>
                <w:lang w:val="en-GB"/>
              </w:rPr>
              <w:t>#</w:t>
            </w:r>
          </w:p>
        </w:tc>
      </w:tr>
      <w:tr w:rsidR="004A7EDA" w:rsidRPr="004A7EDA" w14:paraId="0939C875" w14:textId="77777777" w:rsidTr="00773C3E">
        <w:trPr>
          <w:trHeight w:val="113"/>
        </w:trPr>
        <w:tc>
          <w:tcPr>
            <w:tcW w:w="9638" w:type="dxa"/>
            <w:gridSpan w:val="6"/>
            <w:shd w:val="clear" w:color="auto" w:fill="auto"/>
            <w:tcMar>
              <w:top w:w="113" w:type="dxa"/>
              <w:left w:w="113" w:type="dxa"/>
              <w:bottom w:w="113" w:type="dxa"/>
              <w:right w:w="113" w:type="dxa"/>
            </w:tcMar>
          </w:tcPr>
          <w:p w14:paraId="0B103E7C" w14:textId="77777777" w:rsidR="004A7EDA" w:rsidRPr="004A7EDA" w:rsidRDefault="004A7EDA" w:rsidP="00286AE3">
            <w:pPr>
              <w:pStyle w:val="TableCopy"/>
            </w:pPr>
            <w:r w:rsidRPr="004A7EDA">
              <w:t xml:space="preserve">Lower result due to delays resulting from a significant increase in the number of applications received </w:t>
            </w:r>
            <w:proofErr w:type="gramStart"/>
            <w:r w:rsidRPr="004A7EDA">
              <w:t>as a result of</w:t>
            </w:r>
            <w:proofErr w:type="gramEnd"/>
            <w:r w:rsidRPr="004A7EDA">
              <w:t xml:space="preserve"> the impacts of COVID-19 on the sector. Six hundred and eighty applications were received in the September 2020 round, compared with an average of 350 of the previous five pre-COVID rounds (two rounds per year in February and September, with September 2020 the final round of the program).</w:t>
            </w:r>
          </w:p>
        </w:tc>
      </w:tr>
      <w:tr w:rsidR="004A7EDA" w:rsidRPr="004A7EDA" w14:paraId="116320F2" w14:textId="77777777" w:rsidTr="00773C3E">
        <w:trPr>
          <w:trHeight w:val="113"/>
        </w:trPr>
        <w:tc>
          <w:tcPr>
            <w:tcW w:w="9638" w:type="dxa"/>
            <w:gridSpan w:val="6"/>
            <w:shd w:val="clear" w:color="auto" w:fill="auto"/>
            <w:tcMar>
              <w:top w:w="113" w:type="dxa"/>
              <w:left w:w="28" w:type="dxa"/>
              <w:bottom w:w="113" w:type="dxa"/>
              <w:right w:w="28" w:type="dxa"/>
            </w:tcMar>
          </w:tcPr>
          <w:p w14:paraId="08CBE6D5" w14:textId="77777777" w:rsidR="004A7EDA" w:rsidRPr="004A7EDA" w:rsidRDefault="004A7EDA" w:rsidP="00286AE3">
            <w:pPr>
              <w:pStyle w:val="TableCopy"/>
              <w:rPr>
                <w:lang w:val="en-GB"/>
              </w:rPr>
            </w:pPr>
            <w:r w:rsidRPr="004A7EDA">
              <w:rPr>
                <w:lang w:val="en-GB"/>
              </w:rPr>
              <w:t>Cost</w:t>
            </w:r>
          </w:p>
        </w:tc>
      </w:tr>
      <w:tr w:rsidR="004A7EDA" w:rsidRPr="004A7EDA" w14:paraId="46FA59E0" w14:textId="77777777" w:rsidTr="00773C3E">
        <w:trPr>
          <w:trHeight w:val="113"/>
        </w:trPr>
        <w:tc>
          <w:tcPr>
            <w:tcW w:w="4479" w:type="dxa"/>
            <w:shd w:val="clear" w:color="auto" w:fill="auto"/>
            <w:tcMar>
              <w:top w:w="113" w:type="dxa"/>
              <w:left w:w="28" w:type="dxa"/>
              <w:bottom w:w="113" w:type="dxa"/>
              <w:right w:w="28" w:type="dxa"/>
            </w:tcMar>
          </w:tcPr>
          <w:p w14:paraId="22F393CC" w14:textId="77777777" w:rsidR="004A7EDA" w:rsidRPr="004A7EDA" w:rsidRDefault="004A7EDA" w:rsidP="00286AE3">
            <w:pPr>
              <w:pStyle w:val="TableCopy"/>
              <w:rPr>
                <w:lang w:val="en-GB"/>
              </w:rPr>
            </w:pPr>
            <w:r w:rsidRPr="004A7EDA">
              <w:rPr>
                <w:lang w:val="en-GB"/>
              </w:rPr>
              <w:t>Total output cost</w:t>
            </w:r>
          </w:p>
        </w:tc>
        <w:tc>
          <w:tcPr>
            <w:tcW w:w="964" w:type="dxa"/>
            <w:shd w:val="clear" w:color="auto" w:fill="auto"/>
            <w:tcMar>
              <w:top w:w="113" w:type="dxa"/>
              <w:left w:w="28" w:type="dxa"/>
              <w:bottom w:w="113" w:type="dxa"/>
              <w:right w:w="28" w:type="dxa"/>
            </w:tcMar>
          </w:tcPr>
          <w:p w14:paraId="7579AF34" w14:textId="77777777" w:rsidR="004A7EDA" w:rsidRPr="004A7EDA" w:rsidRDefault="004A7EDA" w:rsidP="00286AE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584363A3" w14:textId="77777777" w:rsidR="004A7EDA" w:rsidRPr="004A7EDA" w:rsidRDefault="004A7EDA" w:rsidP="00286AE3">
            <w:pPr>
              <w:pStyle w:val="TableCopy"/>
              <w:rPr>
                <w:lang w:val="en-GB"/>
              </w:rPr>
            </w:pPr>
            <w:r w:rsidRPr="004A7EDA">
              <w:rPr>
                <w:lang w:val="en-GB"/>
              </w:rPr>
              <w:t>95.1</w:t>
            </w:r>
          </w:p>
        </w:tc>
        <w:tc>
          <w:tcPr>
            <w:tcW w:w="964" w:type="dxa"/>
            <w:shd w:val="clear" w:color="auto" w:fill="auto"/>
            <w:tcMar>
              <w:top w:w="113" w:type="dxa"/>
              <w:left w:w="28" w:type="dxa"/>
              <w:bottom w:w="113" w:type="dxa"/>
              <w:right w:w="28" w:type="dxa"/>
            </w:tcMar>
          </w:tcPr>
          <w:p w14:paraId="2C5246E6" w14:textId="77777777" w:rsidR="004A7EDA" w:rsidRPr="004A7EDA" w:rsidRDefault="004A7EDA" w:rsidP="00286AE3">
            <w:pPr>
              <w:pStyle w:val="TableCopy"/>
              <w:rPr>
                <w:lang w:val="en-GB"/>
              </w:rPr>
            </w:pPr>
            <w:r w:rsidRPr="004A7EDA">
              <w:rPr>
                <w:lang w:val="en-GB"/>
              </w:rPr>
              <w:t>78.7</w:t>
            </w:r>
          </w:p>
        </w:tc>
        <w:tc>
          <w:tcPr>
            <w:tcW w:w="1304" w:type="dxa"/>
            <w:shd w:val="clear" w:color="auto" w:fill="auto"/>
            <w:tcMar>
              <w:top w:w="113" w:type="dxa"/>
              <w:left w:w="28" w:type="dxa"/>
              <w:bottom w:w="113" w:type="dxa"/>
              <w:right w:w="28" w:type="dxa"/>
            </w:tcMar>
          </w:tcPr>
          <w:p w14:paraId="6B76A17F" w14:textId="77777777" w:rsidR="004A7EDA" w:rsidRPr="004A7EDA" w:rsidRDefault="004A7EDA" w:rsidP="00286AE3">
            <w:pPr>
              <w:pStyle w:val="TableCopy"/>
              <w:rPr>
                <w:lang w:val="en-GB"/>
              </w:rPr>
            </w:pPr>
            <w:r w:rsidRPr="004A7EDA">
              <w:rPr>
                <w:lang w:val="en-GB"/>
              </w:rPr>
              <w:t>20.8%</w:t>
            </w:r>
          </w:p>
        </w:tc>
        <w:tc>
          <w:tcPr>
            <w:tcW w:w="964" w:type="dxa"/>
            <w:shd w:val="clear" w:color="auto" w:fill="auto"/>
            <w:tcMar>
              <w:top w:w="113" w:type="dxa"/>
              <w:left w:w="28" w:type="dxa"/>
              <w:bottom w:w="113" w:type="dxa"/>
              <w:right w:w="28" w:type="dxa"/>
            </w:tcMar>
          </w:tcPr>
          <w:p w14:paraId="411E6AF7" w14:textId="798A4261" w:rsidR="004A7EDA" w:rsidRPr="004A7EDA" w:rsidRDefault="00120E9E" w:rsidP="00286AE3">
            <w:pPr>
              <w:pStyle w:val="TableCopy"/>
              <w:rPr>
                <w:lang w:val="en-GB"/>
              </w:rPr>
            </w:pPr>
            <w:r>
              <w:rPr>
                <w:lang w:val="en-GB"/>
              </w:rPr>
              <w:t>#</w:t>
            </w:r>
          </w:p>
        </w:tc>
      </w:tr>
      <w:tr w:rsidR="004A7EDA" w:rsidRPr="004A7EDA" w14:paraId="53FEF0D1" w14:textId="77777777" w:rsidTr="00773C3E">
        <w:trPr>
          <w:trHeight w:val="113"/>
        </w:trPr>
        <w:tc>
          <w:tcPr>
            <w:tcW w:w="9638" w:type="dxa"/>
            <w:gridSpan w:val="6"/>
            <w:shd w:val="clear" w:color="auto" w:fill="auto"/>
            <w:tcMar>
              <w:top w:w="113" w:type="dxa"/>
              <w:left w:w="113" w:type="dxa"/>
              <w:bottom w:w="113" w:type="dxa"/>
              <w:right w:w="113" w:type="dxa"/>
            </w:tcMar>
          </w:tcPr>
          <w:p w14:paraId="0D56BF8B" w14:textId="77777777" w:rsidR="004A7EDA" w:rsidRPr="004A7EDA" w:rsidRDefault="004A7EDA" w:rsidP="00286AE3">
            <w:pPr>
              <w:pStyle w:val="TableCopy"/>
            </w:pPr>
            <w:r w:rsidRPr="004A7EDA">
              <w:t>The 2020–21 result was higher than 2020–21 budget primarily due to additional funding received in 2020–21 for the Creative Industries Survival package.</w:t>
            </w:r>
          </w:p>
        </w:tc>
      </w:tr>
    </w:tbl>
    <w:p w14:paraId="7CA0D1A2" w14:textId="2EDB79DE" w:rsidR="004A7EDA" w:rsidRPr="004A7EDA" w:rsidRDefault="00286AE3" w:rsidP="004A7EDA">
      <w:pPr>
        <w:rPr>
          <w:lang w:val="en-GB"/>
        </w:rPr>
      </w:pPr>
      <w:r w:rsidRPr="004A7EDA">
        <w:t>Note:</w:t>
      </w:r>
      <w:r w:rsidRPr="004A7EDA">
        <w:t> </w:t>
      </w:r>
      <w:r w:rsidRPr="004A7EDA">
        <w:br/>
      </w:r>
      <w:r>
        <w:t>*</w:t>
      </w:r>
      <w:r w:rsidRPr="004A7EDA">
        <w:t xml:space="preserve"> Performance target achieved or exceeded</w:t>
      </w:r>
      <w:r w:rsidRPr="004A7EDA">
        <w:br/>
      </w:r>
      <w:r>
        <w:t>–</w:t>
      </w:r>
      <w:r w:rsidRPr="004A7EDA">
        <w:t xml:space="preserve"> Performance target not achieved – within 5 per cent variance</w:t>
      </w:r>
      <w:r w:rsidRPr="004A7EDA">
        <w:br/>
      </w:r>
      <w:r>
        <w:t>#</w:t>
      </w:r>
      <w:r w:rsidRPr="004A7EDA">
        <w:t xml:space="preserve"> Performance target not achieved – exceeds 5 per cent variance</w:t>
      </w:r>
    </w:p>
    <w:p w14:paraId="40972644" w14:textId="15B4BED1" w:rsidR="004A7EDA" w:rsidRPr="004A7EDA" w:rsidRDefault="004A7EDA" w:rsidP="004A7EDA">
      <w:pPr>
        <w:rPr>
          <w:lang w:val="en-GB"/>
        </w:rPr>
      </w:pPr>
      <w:r w:rsidRPr="004A7EDA">
        <w:rPr>
          <w:lang w:val="en-GB"/>
        </w:rPr>
        <w:t xml:space="preserve">Table 22 represents performance against the Creative Industries Portfolio Agencies output. This output promotes, </w:t>
      </w:r>
      <w:proofErr w:type="gramStart"/>
      <w:r w:rsidRPr="004A7EDA">
        <w:rPr>
          <w:lang w:val="en-GB"/>
        </w:rPr>
        <w:t>presents</w:t>
      </w:r>
      <w:proofErr w:type="gramEnd"/>
      <w:r w:rsidRPr="004A7EDA">
        <w:rPr>
          <w:lang w:val="en-GB"/>
        </w:rPr>
        <w:t xml:space="preserve"> and preserves our heritage and the creative industries through Victoria’s creative industries agencies: Arts Centre Melbourne, Australian Centre for the Moving Image (ACMI), Docklands Studios Melbourne, Film Victoria, Geelong Performing Arts Centre, Melbourne Recital Centre, Museums Victoria, National Gallery of Victoria (NGV), and the State Library Victoria.</w:t>
      </w:r>
    </w:p>
    <w:p w14:paraId="01A3E6A2" w14:textId="7426F5E8" w:rsidR="004A7EDA" w:rsidRPr="008C09C2" w:rsidRDefault="004A7EDA" w:rsidP="008C09C2">
      <w:pPr>
        <w:pStyle w:val="Heading5"/>
        <w:rPr>
          <w:lang w:val="en-GB"/>
        </w:rPr>
      </w:pPr>
      <w:r w:rsidRPr="004A7EDA">
        <w:rPr>
          <w:lang w:val="en-GB"/>
        </w:rPr>
        <w:t xml:space="preserve">Table 22: Output – </w:t>
      </w:r>
      <w:r w:rsidRPr="00120E9E">
        <w:t>Creative</w:t>
      </w:r>
      <w:r w:rsidRPr="004A7EDA">
        <w:rPr>
          <w:lang w:val="en-GB"/>
        </w:rPr>
        <w:t xml:space="preserve"> Industries Portfolio Agencies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9"/>
        <w:gridCol w:w="964"/>
        <w:gridCol w:w="963"/>
        <w:gridCol w:w="964"/>
        <w:gridCol w:w="1304"/>
        <w:gridCol w:w="964"/>
      </w:tblGrid>
      <w:tr w:rsidR="004A7EDA" w:rsidRPr="004A7EDA" w14:paraId="6C01CE64" w14:textId="77777777" w:rsidTr="00773C3E">
        <w:trPr>
          <w:trHeight w:val="113"/>
          <w:tblHeader/>
        </w:trPr>
        <w:tc>
          <w:tcPr>
            <w:tcW w:w="4479" w:type="dxa"/>
            <w:shd w:val="clear" w:color="auto" w:fill="auto"/>
            <w:tcMar>
              <w:top w:w="113" w:type="dxa"/>
              <w:left w:w="28" w:type="dxa"/>
              <w:bottom w:w="113" w:type="dxa"/>
              <w:right w:w="28" w:type="dxa"/>
            </w:tcMar>
          </w:tcPr>
          <w:p w14:paraId="07D385DC" w14:textId="77777777" w:rsidR="004A7EDA" w:rsidRPr="004A7EDA" w:rsidRDefault="004A7EDA" w:rsidP="00286AE3">
            <w:pPr>
              <w:pStyle w:val="TableHeading"/>
              <w:rPr>
                <w:lang w:val="en-GB"/>
              </w:rPr>
            </w:pPr>
            <w:r w:rsidRPr="004A7EDA">
              <w:rPr>
                <w:lang w:val="en-GB"/>
              </w:rPr>
              <w:t>Performance measures</w:t>
            </w:r>
          </w:p>
        </w:tc>
        <w:tc>
          <w:tcPr>
            <w:tcW w:w="964" w:type="dxa"/>
            <w:shd w:val="clear" w:color="auto" w:fill="auto"/>
            <w:tcMar>
              <w:top w:w="113" w:type="dxa"/>
              <w:left w:w="28" w:type="dxa"/>
              <w:bottom w:w="113" w:type="dxa"/>
              <w:right w:w="28" w:type="dxa"/>
            </w:tcMar>
          </w:tcPr>
          <w:p w14:paraId="58C2F475" w14:textId="77777777" w:rsidR="004A7EDA" w:rsidRPr="004A7EDA" w:rsidRDefault="004A7EDA" w:rsidP="00286AE3">
            <w:pPr>
              <w:pStyle w:val="TableHeading"/>
              <w:rPr>
                <w:lang w:val="en-GB"/>
              </w:rPr>
            </w:pPr>
            <w:r w:rsidRPr="004A7EDA">
              <w:rPr>
                <w:lang w:val="en-GB"/>
              </w:rPr>
              <w:t>Unit of measure</w:t>
            </w:r>
          </w:p>
        </w:tc>
        <w:tc>
          <w:tcPr>
            <w:tcW w:w="963" w:type="dxa"/>
            <w:shd w:val="clear" w:color="auto" w:fill="auto"/>
            <w:tcMar>
              <w:top w:w="113" w:type="dxa"/>
              <w:left w:w="28" w:type="dxa"/>
              <w:bottom w:w="113" w:type="dxa"/>
              <w:right w:w="28" w:type="dxa"/>
            </w:tcMar>
          </w:tcPr>
          <w:p w14:paraId="4A28FFF0" w14:textId="77777777" w:rsidR="004A7EDA" w:rsidRPr="004A7EDA" w:rsidRDefault="004A7EDA" w:rsidP="00286AE3">
            <w:pPr>
              <w:pStyle w:val="TableHeading"/>
              <w:rPr>
                <w:lang w:val="en-GB"/>
              </w:rPr>
            </w:pPr>
            <w:r w:rsidRPr="004A7EDA">
              <w:rPr>
                <w:lang w:val="en-GB"/>
              </w:rPr>
              <w:t>2020–21 actual</w:t>
            </w:r>
          </w:p>
        </w:tc>
        <w:tc>
          <w:tcPr>
            <w:tcW w:w="964" w:type="dxa"/>
            <w:shd w:val="clear" w:color="auto" w:fill="auto"/>
            <w:tcMar>
              <w:top w:w="113" w:type="dxa"/>
              <w:left w:w="28" w:type="dxa"/>
              <w:bottom w:w="113" w:type="dxa"/>
              <w:right w:w="28" w:type="dxa"/>
            </w:tcMar>
          </w:tcPr>
          <w:p w14:paraId="21EF6AAA" w14:textId="77777777" w:rsidR="004A7EDA" w:rsidRPr="004A7EDA" w:rsidRDefault="004A7EDA" w:rsidP="00286AE3">
            <w:pPr>
              <w:pStyle w:val="TableHeading"/>
              <w:rPr>
                <w:lang w:val="en-GB"/>
              </w:rPr>
            </w:pPr>
            <w:r w:rsidRPr="004A7EDA">
              <w:rPr>
                <w:lang w:val="en-GB"/>
              </w:rPr>
              <w:t>2020–21 target</w:t>
            </w:r>
          </w:p>
        </w:tc>
        <w:tc>
          <w:tcPr>
            <w:tcW w:w="1304" w:type="dxa"/>
            <w:shd w:val="clear" w:color="auto" w:fill="auto"/>
            <w:tcMar>
              <w:top w:w="113" w:type="dxa"/>
              <w:left w:w="28" w:type="dxa"/>
              <w:bottom w:w="113" w:type="dxa"/>
              <w:right w:w="28" w:type="dxa"/>
            </w:tcMar>
          </w:tcPr>
          <w:p w14:paraId="78DBB261" w14:textId="77777777" w:rsidR="004A7EDA" w:rsidRPr="004A7EDA" w:rsidRDefault="004A7EDA" w:rsidP="00286AE3">
            <w:pPr>
              <w:pStyle w:val="TableHeading"/>
              <w:rPr>
                <w:lang w:val="en-GB"/>
              </w:rPr>
            </w:pPr>
            <w:r w:rsidRPr="004A7EDA">
              <w:rPr>
                <w:lang w:val="en-GB"/>
              </w:rPr>
              <w:t>Performance variation (%)</w:t>
            </w:r>
          </w:p>
        </w:tc>
        <w:tc>
          <w:tcPr>
            <w:tcW w:w="964" w:type="dxa"/>
            <w:shd w:val="clear" w:color="auto" w:fill="auto"/>
            <w:tcMar>
              <w:top w:w="113" w:type="dxa"/>
              <w:left w:w="28" w:type="dxa"/>
              <w:bottom w:w="113" w:type="dxa"/>
              <w:right w:w="28" w:type="dxa"/>
            </w:tcMar>
          </w:tcPr>
          <w:p w14:paraId="1F571D0A" w14:textId="77777777" w:rsidR="004A7EDA" w:rsidRPr="004A7EDA" w:rsidRDefault="004A7EDA" w:rsidP="00286AE3">
            <w:pPr>
              <w:pStyle w:val="TableHeading"/>
              <w:rPr>
                <w:lang w:val="en-GB"/>
              </w:rPr>
            </w:pPr>
            <w:r w:rsidRPr="004A7EDA">
              <w:rPr>
                <w:lang w:val="en-GB"/>
              </w:rPr>
              <w:t>Result</w:t>
            </w:r>
          </w:p>
        </w:tc>
      </w:tr>
      <w:tr w:rsidR="004A7EDA" w:rsidRPr="00773C3E" w14:paraId="6B12D854" w14:textId="77777777" w:rsidTr="00773C3E">
        <w:trPr>
          <w:trHeight w:val="113"/>
        </w:trPr>
        <w:tc>
          <w:tcPr>
            <w:tcW w:w="9638" w:type="dxa"/>
            <w:gridSpan w:val="6"/>
            <w:shd w:val="clear" w:color="auto" w:fill="auto"/>
            <w:tcMar>
              <w:top w:w="113" w:type="dxa"/>
              <w:left w:w="28" w:type="dxa"/>
              <w:bottom w:w="113" w:type="dxa"/>
              <w:right w:w="28" w:type="dxa"/>
            </w:tcMar>
          </w:tcPr>
          <w:p w14:paraId="1C57B04A" w14:textId="77777777" w:rsidR="004A7EDA" w:rsidRPr="00773C3E" w:rsidRDefault="004A7EDA" w:rsidP="00286AE3">
            <w:pPr>
              <w:pStyle w:val="TableCopy"/>
            </w:pPr>
            <w:r w:rsidRPr="00773C3E">
              <w:t>Quantity</w:t>
            </w:r>
          </w:p>
        </w:tc>
      </w:tr>
      <w:tr w:rsidR="004A7EDA" w:rsidRPr="004A7EDA" w14:paraId="2D469215" w14:textId="77777777" w:rsidTr="00773C3E">
        <w:trPr>
          <w:trHeight w:val="113"/>
        </w:trPr>
        <w:tc>
          <w:tcPr>
            <w:tcW w:w="4479" w:type="dxa"/>
            <w:shd w:val="clear" w:color="auto" w:fill="auto"/>
            <w:tcMar>
              <w:top w:w="113" w:type="dxa"/>
              <w:left w:w="28" w:type="dxa"/>
              <w:bottom w:w="113" w:type="dxa"/>
              <w:right w:w="28" w:type="dxa"/>
            </w:tcMar>
          </w:tcPr>
          <w:p w14:paraId="4D01F95D" w14:textId="77777777" w:rsidR="004A7EDA" w:rsidRPr="004A7EDA" w:rsidRDefault="004A7EDA" w:rsidP="00286AE3">
            <w:pPr>
              <w:pStyle w:val="TableCopy"/>
              <w:rPr>
                <w:lang w:val="en-GB"/>
              </w:rPr>
            </w:pPr>
            <w:r w:rsidRPr="004A7EDA">
              <w:rPr>
                <w:lang w:val="en-GB"/>
              </w:rPr>
              <w:t>Additional employment from production supported</w:t>
            </w:r>
            <w:r w:rsidRPr="004A7EDA">
              <w:rPr>
                <w:lang w:val="en-GB"/>
              </w:rPr>
              <w:br/>
              <w:t>by Film Victoria</w:t>
            </w:r>
          </w:p>
        </w:tc>
        <w:tc>
          <w:tcPr>
            <w:tcW w:w="964" w:type="dxa"/>
            <w:shd w:val="clear" w:color="auto" w:fill="auto"/>
            <w:tcMar>
              <w:top w:w="113" w:type="dxa"/>
              <w:left w:w="28" w:type="dxa"/>
              <w:bottom w:w="113" w:type="dxa"/>
              <w:right w:w="28" w:type="dxa"/>
            </w:tcMar>
          </w:tcPr>
          <w:p w14:paraId="5FC83F86"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2039D03F" w14:textId="77777777" w:rsidR="004A7EDA" w:rsidRPr="004A7EDA" w:rsidRDefault="004A7EDA" w:rsidP="00286AE3">
            <w:pPr>
              <w:pStyle w:val="TableCopy"/>
              <w:rPr>
                <w:lang w:val="en-GB"/>
              </w:rPr>
            </w:pPr>
            <w:r w:rsidRPr="004A7EDA">
              <w:rPr>
                <w:lang w:val="en-GB"/>
              </w:rPr>
              <w:t>9,558</w:t>
            </w:r>
          </w:p>
        </w:tc>
        <w:tc>
          <w:tcPr>
            <w:tcW w:w="964" w:type="dxa"/>
            <w:shd w:val="clear" w:color="auto" w:fill="auto"/>
            <w:tcMar>
              <w:top w:w="113" w:type="dxa"/>
              <w:left w:w="28" w:type="dxa"/>
              <w:bottom w:w="113" w:type="dxa"/>
              <w:right w:w="28" w:type="dxa"/>
            </w:tcMar>
          </w:tcPr>
          <w:p w14:paraId="64F6CF2F" w14:textId="77777777" w:rsidR="004A7EDA" w:rsidRPr="004A7EDA" w:rsidRDefault="004A7EDA" w:rsidP="00286AE3">
            <w:pPr>
              <w:pStyle w:val="TableCopy"/>
              <w:rPr>
                <w:lang w:val="en-GB"/>
              </w:rPr>
            </w:pPr>
            <w:r w:rsidRPr="004A7EDA">
              <w:rPr>
                <w:lang w:val="en-GB"/>
              </w:rPr>
              <w:t>8,732</w:t>
            </w:r>
          </w:p>
        </w:tc>
        <w:tc>
          <w:tcPr>
            <w:tcW w:w="1304" w:type="dxa"/>
            <w:shd w:val="clear" w:color="auto" w:fill="auto"/>
            <w:tcMar>
              <w:top w:w="113" w:type="dxa"/>
              <w:left w:w="28" w:type="dxa"/>
              <w:bottom w:w="113" w:type="dxa"/>
              <w:right w:w="28" w:type="dxa"/>
            </w:tcMar>
          </w:tcPr>
          <w:p w14:paraId="6B773728" w14:textId="77777777" w:rsidR="004A7EDA" w:rsidRPr="004A7EDA" w:rsidRDefault="004A7EDA" w:rsidP="00286AE3">
            <w:pPr>
              <w:pStyle w:val="TableCopy"/>
              <w:rPr>
                <w:lang w:val="en-GB"/>
              </w:rPr>
            </w:pPr>
            <w:r w:rsidRPr="004A7EDA">
              <w:rPr>
                <w:lang w:val="en-GB"/>
              </w:rPr>
              <w:t>9.5%</w:t>
            </w:r>
          </w:p>
        </w:tc>
        <w:tc>
          <w:tcPr>
            <w:tcW w:w="964" w:type="dxa"/>
            <w:shd w:val="clear" w:color="auto" w:fill="auto"/>
            <w:tcMar>
              <w:top w:w="113" w:type="dxa"/>
              <w:left w:w="28" w:type="dxa"/>
              <w:bottom w:w="113" w:type="dxa"/>
              <w:right w:w="28" w:type="dxa"/>
            </w:tcMar>
          </w:tcPr>
          <w:p w14:paraId="578BE7C0" w14:textId="5A205228" w:rsidR="004A7EDA" w:rsidRPr="004A7EDA" w:rsidRDefault="00120E9E" w:rsidP="00286AE3">
            <w:pPr>
              <w:pStyle w:val="TableCopy"/>
              <w:rPr>
                <w:lang w:val="en-GB"/>
              </w:rPr>
            </w:pPr>
            <w:r>
              <w:rPr>
                <w:lang w:val="en-GB"/>
              </w:rPr>
              <w:t>*</w:t>
            </w:r>
          </w:p>
        </w:tc>
      </w:tr>
      <w:tr w:rsidR="004A7EDA" w:rsidRPr="004A7EDA" w14:paraId="63B3357F" w14:textId="77777777" w:rsidTr="00773C3E">
        <w:trPr>
          <w:trHeight w:val="113"/>
        </w:trPr>
        <w:tc>
          <w:tcPr>
            <w:tcW w:w="9638" w:type="dxa"/>
            <w:gridSpan w:val="6"/>
            <w:shd w:val="clear" w:color="auto" w:fill="auto"/>
            <w:tcMar>
              <w:top w:w="113" w:type="dxa"/>
              <w:left w:w="113" w:type="dxa"/>
              <w:bottom w:w="113" w:type="dxa"/>
              <w:right w:w="113" w:type="dxa"/>
            </w:tcMar>
          </w:tcPr>
          <w:p w14:paraId="075F0799" w14:textId="77777777" w:rsidR="004A7EDA" w:rsidRPr="004A7EDA" w:rsidRDefault="004A7EDA" w:rsidP="00286AE3">
            <w:pPr>
              <w:pStyle w:val="TableCopy"/>
            </w:pPr>
            <w:r w:rsidRPr="004A7EDA">
              <w:t xml:space="preserve">Higher result due to the two COVID-19 support packages from government (Creative State: Screen Industry Survival Package and Screen Industry Crisis Recovery Plan), which enabled greater support for local production and helped to attract a diverse range of film, </w:t>
            </w:r>
            <w:proofErr w:type="gramStart"/>
            <w:r w:rsidRPr="004A7EDA">
              <w:t>screen</w:t>
            </w:r>
            <w:proofErr w:type="gramEnd"/>
            <w:r w:rsidRPr="004A7EDA">
              <w:t xml:space="preserve"> and games production activity to Victoria.</w:t>
            </w:r>
          </w:p>
        </w:tc>
      </w:tr>
      <w:tr w:rsidR="004A7EDA" w:rsidRPr="004A7EDA" w14:paraId="39135F51" w14:textId="77777777" w:rsidTr="00773C3E">
        <w:trPr>
          <w:trHeight w:val="113"/>
        </w:trPr>
        <w:tc>
          <w:tcPr>
            <w:tcW w:w="4479" w:type="dxa"/>
            <w:shd w:val="clear" w:color="auto" w:fill="auto"/>
            <w:tcMar>
              <w:top w:w="113" w:type="dxa"/>
              <w:left w:w="28" w:type="dxa"/>
              <w:bottom w:w="113" w:type="dxa"/>
              <w:right w:w="28" w:type="dxa"/>
            </w:tcMar>
          </w:tcPr>
          <w:p w14:paraId="6D183CD3" w14:textId="77777777" w:rsidR="004A7EDA" w:rsidRPr="004A7EDA" w:rsidRDefault="004A7EDA" w:rsidP="00286AE3">
            <w:pPr>
              <w:pStyle w:val="TableCopy"/>
              <w:rPr>
                <w:lang w:val="en-GB"/>
              </w:rPr>
            </w:pPr>
            <w:r w:rsidRPr="004A7EDA">
              <w:rPr>
                <w:lang w:val="en-GB"/>
              </w:rPr>
              <w:t>Agency website visitation</w:t>
            </w:r>
          </w:p>
        </w:tc>
        <w:tc>
          <w:tcPr>
            <w:tcW w:w="964" w:type="dxa"/>
            <w:shd w:val="clear" w:color="auto" w:fill="auto"/>
            <w:tcMar>
              <w:top w:w="113" w:type="dxa"/>
              <w:left w:w="28" w:type="dxa"/>
              <w:bottom w:w="113" w:type="dxa"/>
              <w:right w:w="28" w:type="dxa"/>
            </w:tcMar>
          </w:tcPr>
          <w:p w14:paraId="55E255E0"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67054984" w14:textId="77777777" w:rsidR="004A7EDA" w:rsidRPr="004A7EDA" w:rsidRDefault="004A7EDA" w:rsidP="00286AE3">
            <w:pPr>
              <w:pStyle w:val="TableCopy"/>
              <w:rPr>
                <w:lang w:val="en-GB"/>
              </w:rPr>
            </w:pPr>
            <w:r w:rsidRPr="004A7EDA">
              <w:rPr>
                <w:lang w:val="en-GB"/>
              </w:rPr>
              <w:t>18,747</w:t>
            </w:r>
          </w:p>
        </w:tc>
        <w:tc>
          <w:tcPr>
            <w:tcW w:w="964" w:type="dxa"/>
            <w:shd w:val="clear" w:color="auto" w:fill="auto"/>
            <w:tcMar>
              <w:top w:w="113" w:type="dxa"/>
              <w:left w:w="28" w:type="dxa"/>
              <w:bottom w:w="113" w:type="dxa"/>
              <w:right w:w="28" w:type="dxa"/>
            </w:tcMar>
          </w:tcPr>
          <w:p w14:paraId="50E2304F" w14:textId="77777777" w:rsidR="004A7EDA" w:rsidRPr="004A7EDA" w:rsidRDefault="004A7EDA" w:rsidP="00286AE3">
            <w:pPr>
              <w:pStyle w:val="TableCopy"/>
              <w:rPr>
                <w:lang w:val="en-GB"/>
              </w:rPr>
            </w:pPr>
            <w:r w:rsidRPr="004A7EDA">
              <w:rPr>
                <w:lang w:val="en-GB"/>
              </w:rPr>
              <w:t>21,200</w:t>
            </w:r>
          </w:p>
        </w:tc>
        <w:tc>
          <w:tcPr>
            <w:tcW w:w="1304" w:type="dxa"/>
            <w:shd w:val="clear" w:color="auto" w:fill="auto"/>
            <w:tcMar>
              <w:top w:w="113" w:type="dxa"/>
              <w:left w:w="28" w:type="dxa"/>
              <w:bottom w:w="113" w:type="dxa"/>
              <w:right w:w="28" w:type="dxa"/>
            </w:tcMar>
          </w:tcPr>
          <w:p w14:paraId="10641AFF" w14:textId="77777777" w:rsidR="004A7EDA" w:rsidRPr="004A7EDA" w:rsidRDefault="004A7EDA" w:rsidP="00286AE3">
            <w:pPr>
              <w:pStyle w:val="TableCopy"/>
              <w:rPr>
                <w:lang w:val="en-GB"/>
              </w:rPr>
            </w:pPr>
            <w:r w:rsidRPr="004A7EDA">
              <w:rPr>
                <w:lang w:val="en-GB"/>
              </w:rPr>
              <w:t>-11.6%</w:t>
            </w:r>
          </w:p>
        </w:tc>
        <w:tc>
          <w:tcPr>
            <w:tcW w:w="964" w:type="dxa"/>
            <w:shd w:val="clear" w:color="auto" w:fill="auto"/>
            <w:tcMar>
              <w:top w:w="113" w:type="dxa"/>
              <w:left w:w="28" w:type="dxa"/>
              <w:bottom w:w="113" w:type="dxa"/>
              <w:right w:w="28" w:type="dxa"/>
            </w:tcMar>
          </w:tcPr>
          <w:p w14:paraId="6B6C695F" w14:textId="72C6E46C" w:rsidR="004A7EDA" w:rsidRPr="004A7EDA" w:rsidRDefault="00120E9E" w:rsidP="00286AE3">
            <w:pPr>
              <w:pStyle w:val="TableCopy"/>
              <w:rPr>
                <w:lang w:val="en-GB"/>
              </w:rPr>
            </w:pPr>
            <w:r>
              <w:rPr>
                <w:lang w:val="en-GB"/>
              </w:rPr>
              <w:t>#</w:t>
            </w:r>
          </w:p>
        </w:tc>
      </w:tr>
      <w:tr w:rsidR="004A7EDA" w:rsidRPr="004A7EDA" w14:paraId="26EF03EE" w14:textId="77777777" w:rsidTr="00773C3E">
        <w:trPr>
          <w:trHeight w:val="113"/>
        </w:trPr>
        <w:tc>
          <w:tcPr>
            <w:tcW w:w="9638" w:type="dxa"/>
            <w:gridSpan w:val="6"/>
            <w:shd w:val="clear" w:color="auto" w:fill="auto"/>
            <w:tcMar>
              <w:top w:w="113" w:type="dxa"/>
              <w:left w:w="113" w:type="dxa"/>
              <w:bottom w:w="113" w:type="dxa"/>
              <w:right w:w="113" w:type="dxa"/>
            </w:tcMar>
          </w:tcPr>
          <w:p w14:paraId="373C7F5E" w14:textId="77777777" w:rsidR="004A7EDA" w:rsidRPr="004A7EDA" w:rsidRDefault="004A7EDA" w:rsidP="00286AE3">
            <w:pPr>
              <w:pStyle w:val="TableCopy"/>
            </w:pPr>
            <w:r w:rsidRPr="004A7EDA">
              <w:t>Lower result due to the impact of COVID-19 and closures at the agencies. Greatly reduced programming which adversely affected online visitation to agency websites.</w:t>
            </w:r>
          </w:p>
        </w:tc>
      </w:tr>
      <w:tr w:rsidR="004A7EDA" w:rsidRPr="004A7EDA" w14:paraId="69EC198F" w14:textId="77777777" w:rsidTr="00773C3E">
        <w:trPr>
          <w:trHeight w:val="113"/>
        </w:trPr>
        <w:tc>
          <w:tcPr>
            <w:tcW w:w="4479" w:type="dxa"/>
            <w:shd w:val="clear" w:color="auto" w:fill="auto"/>
            <w:tcMar>
              <w:top w:w="113" w:type="dxa"/>
              <w:left w:w="28" w:type="dxa"/>
              <w:bottom w:w="113" w:type="dxa"/>
              <w:right w:w="28" w:type="dxa"/>
            </w:tcMar>
          </w:tcPr>
          <w:p w14:paraId="3A767F94" w14:textId="77777777" w:rsidR="004A7EDA" w:rsidRPr="004A7EDA" w:rsidRDefault="004A7EDA" w:rsidP="00286AE3">
            <w:pPr>
              <w:pStyle w:val="TableCopy"/>
              <w:rPr>
                <w:lang w:val="en-GB"/>
              </w:rPr>
            </w:pPr>
            <w:r w:rsidRPr="004A7EDA">
              <w:rPr>
                <w:lang w:val="en-GB"/>
              </w:rPr>
              <w:lastRenderedPageBreak/>
              <w:t>Attendances at Arts Centre Melbourne</w:t>
            </w:r>
          </w:p>
        </w:tc>
        <w:tc>
          <w:tcPr>
            <w:tcW w:w="964" w:type="dxa"/>
            <w:shd w:val="clear" w:color="auto" w:fill="auto"/>
            <w:tcMar>
              <w:top w:w="113" w:type="dxa"/>
              <w:left w:w="28" w:type="dxa"/>
              <w:bottom w:w="113" w:type="dxa"/>
              <w:right w:w="28" w:type="dxa"/>
            </w:tcMar>
          </w:tcPr>
          <w:p w14:paraId="6F091A7E"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4B4A49C9" w14:textId="77777777" w:rsidR="004A7EDA" w:rsidRPr="004A7EDA" w:rsidRDefault="004A7EDA" w:rsidP="00286AE3">
            <w:pPr>
              <w:pStyle w:val="TableCopy"/>
              <w:rPr>
                <w:lang w:val="en-GB"/>
              </w:rPr>
            </w:pPr>
            <w:r w:rsidRPr="004A7EDA">
              <w:rPr>
                <w:lang w:val="en-GB"/>
              </w:rPr>
              <w:t>450</w:t>
            </w:r>
          </w:p>
        </w:tc>
        <w:tc>
          <w:tcPr>
            <w:tcW w:w="964" w:type="dxa"/>
            <w:shd w:val="clear" w:color="auto" w:fill="auto"/>
            <w:tcMar>
              <w:top w:w="113" w:type="dxa"/>
              <w:left w:w="28" w:type="dxa"/>
              <w:bottom w:w="113" w:type="dxa"/>
              <w:right w:w="28" w:type="dxa"/>
            </w:tcMar>
          </w:tcPr>
          <w:p w14:paraId="7BFD8127" w14:textId="77777777" w:rsidR="004A7EDA" w:rsidRPr="004A7EDA" w:rsidRDefault="004A7EDA" w:rsidP="00286AE3">
            <w:pPr>
              <w:pStyle w:val="TableCopy"/>
              <w:rPr>
                <w:lang w:val="en-GB"/>
              </w:rPr>
            </w:pPr>
            <w:r w:rsidRPr="004A7EDA">
              <w:rPr>
                <w:lang w:val="en-GB"/>
              </w:rPr>
              <w:t>2,200</w:t>
            </w:r>
          </w:p>
        </w:tc>
        <w:tc>
          <w:tcPr>
            <w:tcW w:w="1304" w:type="dxa"/>
            <w:shd w:val="clear" w:color="auto" w:fill="auto"/>
            <w:tcMar>
              <w:top w:w="113" w:type="dxa"/>
              <w:left w:w="28" w:type="dxa"/>
              <w:bottom w:w="113" w:type="dxa"/>
              <w:right w:w="28" w:type="dxa"/>
            </w:tcMar>
          </w:tcPr>
          <w:p w14:paraId="4750ACE7" w14:textId="77777777" w:rsidR="004A7EDA" w:rsidRPr="004A7EDA" w:rsidRDefault="004A7EDA" w:rsidP="00286AE3">
            <w:pPr>
              <w:pStyle w:val="TableCopy"/>
              <w:rPr>
                <w:lang w:val="en-GB"/>
              </w:rPr>
            </w:pPr>
            <w:r w:rsidRPr="004A7EDA">
              <w:rPr>
                <w:lang w:val="en-GB"/>
              </w:rPr>
              <w:t>-79.5%</w:t>
            </w:r>
          </w:p>
        </w:tc>
        <w:tc>
          <w:tcPr>
            <w:tcW w:w="964" w:type="dxa"/>
            <w:shd w:val="clear" w:color="auto" w:fill="auto"/>
            <w:tcMar>
              <w:top w:w="113" w:type="dxa"/>
              <w:left w:w="28" w:type="dxa"/>
              <w:bottom w:w="113" w:type="dxa"/>
              <w:right w:w="28" w:type="dxa"/>
            </w:tcMar>
          </w:tcPr>
          <w:p w14:paraId="7D05FDF2" w14:textId="60E840EC" w:rsidR="004A7EDA" w:rsidRPr="004A7EDA" w:rsidRDefault="00120E9E" w:rsidP="00286AE3">
            <w:pPr>
              <w:pStyle w:val="TableCopy"/>
              <w:rPr>
                <w:lang w:val="en-GB"/>
              </w:rPr>
            </w:pPr>
            <w:r>
              <w:rPr>
                <w:lang w:val="en-GB"/>
              </w:rPr>
              <w:t>#</w:t>
            </w:r>
          </w:p>
        </w:tc>
      </w:tr>
      <w:tr w:rsidR="004A7EDA" w:rsidRPr="004A7EDA" w14:paraId="2F30E9B5" w14:textId="77777777" w:rsidTr="00773C3E">
        <w:trPr>
          <w:trHeight w:val="113"/>
        </w:trPr>
        <w:tc>
          <w:tcPr>
            <w:tcW w:w="9638" w:type="dxa"/>
            <w:gridSpan w:val="6"/>
            <w:shd w:val="clear" w:color="auto" w:fill="auto"/>
            <w:tcMar>
              <w:top w:w="113" w:type="dxa"/>
              <w:left w:w="113" w:type="dxa"/>
              <w:bottom w:w="113" w:type="dxa"/>
              <w:right w:w="113" w:type="dxa"/>
            </w:tcMar>
          </w:tcPr>
          <w:p w14:paraId="219D6B7A" w14:textId="77777777" w:rsidR="004A7EDA" w:rsidRPr="004A7EDA" w:rsidRDefault="004A7EDA" w:rsidP="00286AE3">
            <w:pPr>
              <w:pStyle w:val="TableCopy"/>
            </w:pPr>
            <w:r w:rsidRPr="004A7EDA">
              <w:t>Lower result due to impact of COVID-19 restrictions which resulted in closures and restricted programming.</w:t>
            </w:r>
          </w:p>
        </w:tc>
      </w:tr>
      <w:tr w:rsidR="004A7EDA" w:rsidRPr="004A7EDA" w14:paraId="2C2AAE17" w14:textId="77777777" w:rsidTr="00773C3E">
        <w:trPr>
          <w:trHeight w:val="113"/>
        </w:trPr>
        <w:tc>
          <w:tcPr>
            <w:tcW w:w="4479" w:type="dxa"/>
            <w:shd w:val="clear" w:color="auto" w:fill="auto"/>
            <w:tcMar>
              <w:top w:w="113" w:type="dxa"/>
              <w:left w:w="28" w:type="dxa"/>
              <w:bottom w:w="113" w:type="dxa"/>
              <w:right w:w="28" w:type="dxa"/>
            </w:tcMar>
          </w:tcPr>
          <w:p w14:paraId="02829C0D" w14:textId="77777777" w:rsidR="004A7EDA" w:rsidRPr="004A7EDA" w:rsidRDefault="004A7EDA" w:rsidP="00286AE3">
            <w:pPr>
              <w:pStyle w:val="TableCopy"/>
              <w:rPr>
                <w:lang w:val="en-GB"/>
              </w:rPr>
            </w:pPr>
            <w:r w:rsidRPr="004A7EDA">
              <w:rPr>
                <w:lang w:val="en-GB"/>
              </w:rPr>
              <w:t>Attendances at Australian Centre for the Moving Image</w:t>
            </w:r>
          </w:p>
        </w:tc>
        <w:tc>
          <w:tcPr>
            <w:tcW w:w="964" w:type="dxa"/>
            <w:shd w:val="clear" w:color="auto" w:fill="auto"/>
            <w:tcMar>
              <w:top w:w="113" w:type="dxa"/>
              <w:left w:w="28" w:type="dxa"/>
              <w:bottom w:w="113" w:type="dxa"/>
              <w:right w:w="28" w:type="dxa"/>
            </w:tcMar>
          </w:tcPr>
          <w:p w14:paraId="67A94349"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638739EF" w14:textId="77777777" w:rsidR="004A7EDA" w:rsidRPr="004A7EDA" w:rsidRDefault="004A7EDA" w:rsidP="00286AE3">
            <w:pPr>
              <w:pStyle w:val="TableCopy"/>
              <w:rPr>
                <w:lang w:val="en-GB"/>
              </w:rPr>
            </w:pPr>
            <w:r w:rsidRPr="004A7EDA">
              <w:rPr>
                <w:lang w:val="en-GB"/>
              </w:rPr>
              <w:t>263</w:t>
            </w:r>
          </w:p>
        </w:tc>
        <w:tc>
          <w:tcPr>
            <w:tcW w:w="964" w:type="dxa"/>
            <w:shd w:val="clear" w:color="auto" w:fill="auto"/>
            <w:tcMar>
              <w:top w:w="113" w:type="dxa"/>
              <w:left w:w="28" w:type="dxa"/>
              <w:bottom w:w="113" w:type="dxa"/>
              <w:right w:w="28" w:type="dxa"/>
            </w:tcMar>
          </w:tcPr>
          <w:p w14:paraId="55C684AD" w14:textId="77777777" w:rsidR="004A7EDA" w:rsidRPr="004A7EDA" w:rsidRDefault="004A7EDA" w:rsidP="00286AE3">
            <w:pPr>
              <w:pStyle w:val="TableCopy"/>
              <w:rPr>
                <w:lang w:val="en-GB"/>
              </w:rPr>
            </w:pPr>
            <w:r w:rsidRPr="004A7EDA">
              <w:rPr>
                <w:lang w:val="en-GB"/>
              </w:rPr>
              <w:t>800</w:t>
            </w:r>
          </w:p>
        </w:tc>
        <w:tc>
          <w:tcPr>
            <w:tcW w:w="1304" w:type="dxa"/>
            <w:shd w:val="clear" w:color="auto" w:fill="auto"/>
            <w:tcMar>
              <w:top w:w="113" w:type="dxa"/>
              <w:left w:w="28" w:type="dxa"/>
              <w:bottom w:w="113" w:type="dxa"/>
              <w:right w:w="28" w:type="dxa"/>
            </w:tcMar>
          </w:tcPr>
          <w:p w14:paraId="3BDCCE8B" w14:textId="77777777" w:rsidR="004A7EDA" w:rsidRPr="004A7EDA" w:rsidRDefault="004A7EDA" w:rsidP="00286AE3">
            <w:pPr>
              <w:pStyle w:val="TableCopy"/>
              <w:rPr>
                <w:lang w:val="en-GB"/>
              </w:rPr>
            </w:pPr>
            <w:r w:rsidRPr="004A7EDA">
              <w:rPr>
                <w:lang w:val="en-GB"/>
              </w:rPr>
              <w:t>-67.1%</w:t>
            </w:r>
          </w:p>
        </w:tc>
        <w:tc>
          <w:tcPr>
            <w:tcW w:w="964" w:type="dxa"/>
            <w:shd w:val="clear" w:color="auto" w:fill="auto"/>
            <w:tcMar>
              <w:top w:w="113" w:type="dxa"/>
              <w:left w:w="28" w:type="dxa"/>
              <w:bottom w:w="113" w:type="dxa"/>
              <w:right w:w="28" w:type="dxa"/>
            </w:tcMar>
          </w:tcPr>
          <w:p w14:paraId="20EC8157" w14:textId="4ED7AD25" w:rsidR="004A7EDA" w:rsidRPr="004A7EDA" w:rsidRDefault="00120E9E" w:rsidP="00286AE3">
            <w:pPr>
              <w:pStyle w:val="TableCopy"/>
              <w:rPr>
                <w:lang w:val="en-GB"/>
              </w:rPr>
            </w:pPr>
            <w:r>
              <w:rPr>
                <w:lang w:val="en-GB"/>
              </w:rPr>
              <w:t>#</w:t>
            </w:r>
          </w:p>
        </w:tc>
      </w:tr>
      <w:tr w:rsidR="004A7EDA" w:rsidRPr="004A7EDA" w14:paraId="5924792B" w14:textId="77777777" w:rsidTr="00773C3E">
        <w:trPr>
          <w:trHeight w:val="113"/>
        </w:trPr>
        <w:tc>
          <w:tcPr>
            <w:tcW w:w="9638" w:type="dxa"/>
            <w:gridSpan w:val="6"/>
            <w:shd w:val="clear" w:color="auto" w:fill="auto"/>
            <w:tcMar>
              <w:top w:w="113" w:type="dxa"/>
              <w:left w:w="113" w:type="dxa"/>
              <w:bottom w:w="113" w:type="dxa"/>
              <w:right w:w="113" w:type="dxa"/>
            </w:tcMar>
          </w:tcPr>
          <w:p w14:paraId="7C6566C4" w14:textId="77777777" w:rsidR="004A7EDA" w:rsidRPr="004A7EDA" w:rsidRDefault="004A7EDA" w:rsidP="00286AE3">
            <w:pPr>
              <w:pStyle w:val="TableCopy"/>
            </w:pPr>
            <w:r w:rsidRPr="004A7EDA">
              <w:t>Lower result due to impact of COVID-19 restrictions, and the closure during the extensive redevelopment completed in February 2021.</w:t>
            </w:r>
          </w:p>
        </w:tc>
      </w:tr>
      <w:tr w:rsidR="004A7EDA" w:rsidRPr="004A7EDA" w14:paraId="0ABE484D" w14:textId="77777777" w:rsidTr="00773C3E">
        <w:trPr>
          <w:trHeight w:val="113"/>
        </w:trPr>
        <w:tc>
          <w:tcPr>
            <w:tcW w:w="4479" w:type="dxa"/>
            <w:shd w:val="clear" w:color="auto" w:fill="auto"/>
            <w:tcMar>
              <w:top w:w="113" w:type="dxa"/>
              <w:left w:w="28" w:type="dxa"/>
              <w:bottom w:w="113" w:type="dxa"/>
              <w:right w:w="28" w:type="dxa"/>
            </w:tcMar>
          </w:tcPr>
          <w:p w14:paraId="67494C26" w14:textId="77777777" w:rsidR="004A7EDA" w:rsidRPr="004A7EDA" w:rsidRDefault="004A7EDA" w:rsidP="00286AE3">
            <w:pPr>
              <w:pStyle w:val="TableCopy"/>
              <w:rPr>
                <w:lang w:val="en-GB"/>
              </w:rPr>
            </w:pPr>
            <w:r w:rsidRPr="004A7EDA">
              <w:rPr>
                <w:lang w:val="en-GB"/>
              </w:rPr>
              <w:t>Attendances at Geelong Arts Centre</w:t>
            </w:r>
          </w:p>
        </w:tc>
        <w:tc>
          <w:tcPr>
            <w:tcW w:w="964" w:type="dxa"/>
            <w:shd w:val="clear" w:color="auto" w:fill="auto"/>
            <w:tcMar>
              <w:top w:w="113" w:type="dxa"/>
              <w:left w:w="28" w:type="dxa"/>
              <w:bottom w:w="113" w:type="dxa"/>
              <w:right w:w="28" w:type="dxa"/>
            </w:tcMar>
          </w:tcPr>
          <w:p w14:paraId="01FB2C5E"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1BE1CE78" w14:textId="77777777" w:rsidR="004A7EDA" w:rsidRPr="004A7EDA" w:rsidRDefault="004A7EDA" w:rsidP="00286AE3">
            <w:pPr>
              <w:pStyle w:val="TableCopy"/>
              <w:rPr>
                <w:lang w:val="en-GB"/>
              </w:rPr>
            </w:pPr>
            <w:r w:rsidRPr="004A7EDA">
              <w:rPr>
                <w:lang w:val="en-GB"/>
              </w:rPr>
              <w:t>18</w:t>
            </w:r>
          </w:p>
        </w:tc>
        <w:tc>
          <w:tcPr>
            <w:tcW w:w="964" w:type="dxa"/>
            <w:shd w:val="clear" w:color="auto" w:fill="auto"/>
            <w:tcMar>
              <w:top w:w="113" w:type="dxa"/>
              <w:left w:w="28" w:type="dxa"/>
              <w:bottom w:w="113" w:type="dxa"/>
              <w:right w:w="28" w:type="dxa"/>
            </w:tcMar>
          </w:tcPr>
          <w:p w14:paraId="40BA8D8A" w14:textId="77777777" w:rsidR="004A7EDA" w:rsidRPr="004A7EDA" w:rsidRDefault="004A7EDA" w:rsidP="00286AE3">
            <w:pPr>
              <w:pStyle w:val="TableCopy"/>
              <w:rPr>
                <w:lang w:val="en-GB"/>
              </w:rPr>
            </w:pPr>
            <w:r w:rsidRPr="004A7EDA">
              <w:rPr>
                <w:lang w:val="en-GB"/>
              </w:rPr>
              <w:t>100</w:t>
            </w:r>
          </w:p>
        </w:tc>
        <w:tc>
          <w:tcPr>
            <w:tcW w:w="1304" w:type="dxa"/>
            <w:shd w:val="clear" w:color="auto" w:fill="auto"/>
            <w:tcMar>
              <w:top w:w="113" w:type="dxa"/>
              <w:left w:w="28" w:type="dxa"/>
              <w:bottom w:w="113" w:type="dxa"/>
              <w:right w:w="28" w:type="dxa"/>
            </w:tcMar>
          </w:tcPr>
          <w:p w14:paraId="4FD4BD99" w14:textId="77777777" w:rsidR="004A7EDA" w:rsidRPr="004A7EDA" w:rsidRDefault="004A7EDA" w:rsidP="00286AE3">
            <w:pPr>
              <w:pStyle w:val="TableCopy"/>
              <w:rPr>
                <w:lang w:val="en-GB"/>
              </w:rPr>
            </w:pPr>
            <w:r w:rsidRPr="004A7EDA">
              <w:rPr>
                <w:lang w:val="en-GB"/>
              </w:rPr>
              <w:t>-82.0%</w:t>
            </w:r>
          </w:p>
        </w:tc>
        <w:tc>
          <w:tcPr>
            <w:tcW w:w="964" w:type="dxa"/>
            <w:shd w:val="clear" w:color="auto" w:fill="auto"/>
            <w:tcMar>
              <w:top w:w="113" w:type="dxa"/>
              <w:left w:w="28" w:type="dxa"/>
              <w:bottom w:w="113" w:type="dxa"/>
              <w:right w:w="28" w:type="dxa"/>
            </w:tcMar>
          </w:tcPr>
          <w:p w14:paraId="2F7A87F3" w14:textId="6D3B616E" w:rsidR="004A7EDA" w:rsidRPr="004A7EDA" w:rsidRDefault="00120E9E" w:rsidP="00286AE3">
            <w:pPr>
              <w:pStyle w:val="TableCopy"/>
              <w:rPr>
                <w:lang w:val="en-GB"/>
              </w:rPr>
            </w:pPr>
            <w:r>
              <w:rPr>
                <w:lang w:val="en-GB"/>
              </w:rPr>
              <w:t>#</w:t>
            </w:r>
          </w:p>
        </w:tc>
      </w:tr>
      <w:tr w:rsidR="004A7EDA" w:rsidRPr="004A7EDA" w14:paraId="30042D61" w14:textId="77777777" w:rsidTr="00773C3E">
        <w:trPr>
          <w:trHeight w:val="113"/>
        </w:trPr>
        <w:tc>
          <w:tcPr>
            <w:tcW w:w="9638" w:type="dxa"/>
            <w:gridSpan w:val="6"/>
            <w:shd w:val="clear" w:color="auto" w:fill="auto"/>
            <w:tcMar>
              <w:top w:w="113" w:type="dxa"/>
              <w:left w:w="113" w:type="dxa"/>
              <w:bottom w:w="113" w:type="dxa"/>
              <w:right w:w="113" w:type="dxa"/>
            </w:tcMar>
          </w:tcPr>
          <w:p w14:paraId="40E86F57" w14:textId="77777777" w:rsidR="004A7EDA" w:rsidRPr="004A7EDA" w:rsidRDefault="004A7EDA" w:rsidP="00286AE3">
            <w:pPr>
              <w:pStyle w:val="TableCopy"/>
            </w:pPr>
            <w:r w:rsidRPr="004A7EDA">
              <w:t>Lower result due to impact of COVID-19 and closures, and the “Stage 3” construction works taking place throughout 2021.</w:t>
            </w:r>
          </w:p>
        </w:tc>
      </w:tr>
      <w:tr w:rsidR="004A7EDA" w:rsidRPr="004A7EDA" w14:paraId="17AD1711" w14:textId="77777777" w:rsidTr="00773C3E">
        <w:trPr>
          <w:trHeight w:val="113"/>
        </w:trPr>
        <w:tc>
          <w:tcPr>
            <w:tcW w:w="4479" w:type="dxa"/>
            <w:shd w:val="clear" w:color="auto" w:fill="auto"/>
            <w:tcMar>
              <w:top w:w="113" w:type="dxa"/>
              <w:left w:w="28" w:type="dxa"/>
              <w:bottom w:w="113" w:type="dxa"/>
              <w:right w:w="28" w:type="dxa"/>
            </w:tcMar>
          </w:tcPr>
          <w:p w14:paraId="2B4DB4BC" w14:textId="77777777" w:rsidR="004A7EDA" w:rsidRPr="004A7EDA" w:rsidRDefault="004A7EDA" w:rsidP="00286AE3">
            <w:pPr>
              <w:pStyle w:val="TableCopy"/>
              <w:rPr>
                <w:lang w:val="en-GB"/>
              </w:rPr>
            </w:pPr>
            <w:r w:rsidRPr="004A7EDA">
              <w:rPr>
                <w:lang w:val="en-GB"/>
              </w:rPr>
              <w:t>Attendances at Melbourne Recital Centre</w:t>
            </w:r>
          </w:p>
        </w:tc>
        <w:tc>
          <w:tcPr>
            <w:tcW w:w="964" w:type="dxa"/>
            <w:shd w:val="clear" w:color="auto" w:fill="auto"/>
            <w:tcMar>
              <w:top w:w="113" w:type="dxa"/>
              <w:left w:w="28" w:type="dxa"/>
              <w:bottom w:w="113" w:type="dxa"/>
              <w:right w:w="28" w:type="dxa"/>
            </w:tcMar>
          </w:tcPr>
          <w:p w14:paraId="5F1B699C"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39AF734B" w14:textId="77777777" w:rsidR="004A7EDA" w:rsidRPr="004A7EDA" w:rsidRDefault="004A7EDA" w:rsidP="00286AE3">
            <w:pPr>
              <w:pStyle w:val="TableCopy"/>
              <w:rPr>
                <w:lang w:val="en-GB"/>
              </w:rPr>
            </w:pPr>
            <w:r w:rsidRPr="004A7EDA">
              <w:rPr>
                <w:lang w:val="en-GB"/>
              </w:rPr>
              <w:t>34</w:t>
            </w:r>
          </w:p>
        </w:tc>
        <w:tc>
          <w:tcPr>
            <w:tcW w:w="964" w:type="dxa"/>
            <w:shd w:val="clear" w:color="auto" w:fill="auto"/>
            <w:tcMar>
              <w:top w:w="113" w:type="dxa"/>
              <w:left w:w="28" w:type="dxa"/>
              <w:bottom w:w="113" w:type="dxa"/>
              <w:right w:w="28" w:type="dxa"/>
            </w:tcMar>
          </w:tcPr>
          <w:p w14:paraId="1AE6D41F" w14:textId="77777777" w:rsidR="004A7EDA" w:rsidRPr="004A7EDA" w:rsidRDefault="004A7EDA" w:rsidP="00286AE3">
            <w:pPr>
              <w:pStyle w:val="TableCopy"/>
              <w:rPr>
                <w:lang w:val="en-GB"/>
              </w:rPr>
            </w:pPr>
            <w:r w:rsidRPr="004A7EDA">
              <w:rPr>
                <w:lang w:val="en-GB"/>
              </w:rPr>
              <w:t>230</w:t>
            </w:r>
          </w:p>
        </w:tc>
        <w:tc>
          <w:tcPr>
            <w:tcW w:w="1304" w:type="dxa"/>
            <w:shd w:val="clear" w:color="auto" w:fill="auto"/>
            <w:tcMar>
              <w:top w:w="113" w:type="dxa"/>
              <w:left w:w="28" w:type="dxa"/>
              <w:bottom w:w="113" w:type="dxa"/>
              <w:right w:w="28" w:type="dxa"/>
            </w:tcMar>
          </w:tcPr>
          <w:p w14:paraId="246474DE" w14:textId="77777777" w:rsidR="004A7EDA" w:rsidRPr="004A7EDA" w:rsidRDefault="004A7EDA" w:rsidP="00286AE3">
            <w:pPr>
              <w:pStyle w:val="TableCopy"/>
              <w:rPr>
                <w:lang w:val="en-GB"/>
              </w:rPr>
            </w:pPr>
            <w:r w:rsidRPr="004A7EDA">
              <w:rPr>
                <w:lang w:val="en-GB"/>
              </w:rPr>
              <w:t>-85.2%</w:t>
            </w:r>
          </w:p>
        </w:tc>
        <w:tc>
          <w:tcPr>
            <w:tcW w:w="964" w:type="dxa"/>
            <w:shd w:val="clear" w:color="auto" w:fill="auto"/>
            <w:tcMar>
              <w:top w:w="113" w:type="dxa"/>
              <w:left w:w="28" w:type="dxa"/>
              <w:bottom w:w="113" w:type="dxa"/>
              <w:right w:w="28" w:type="dxa"/>
            </w:tcMar>
          </w:tcPr>
          <w:p w14:paraId="3CE426B1" w14:textId="07D8EE6D" w:rsidR="004A7EDA" w:rsidRPr="004A7EDA" w:rsidRDefault="00120E9E" w:rsidP="00286AE3">
            <w:pPr>
              <w:pStyle w:val="TableCopy"/>
              <w:rPr>
                <w:lang w:val="en-GB"/>
              </w:rPr>
            </w:pPr>
            <w:r>
              <w:rPr>
                <w:lang w:val="en-GB"/>
              </w:rPr>
              <w:t>#</w:t>
            </w:r>
          </w:p>
        </w:tc>
      </w:tr>
      <w:tr w:rsidR="004A7EDA" w:rsidRPr="004A7EDA" w14:paraId="3C02F4D1" w14:textId="77777777" w:rsidTr="00773C3E">
        <w:trPr>
          <w:trHeight w:val="113"/>
        </w:trPr>
        <w:tc>
          <w:tcPr>
            <w:tcW w:w="9638" w:type="dxa"/>
            <w:gridSpan w:val="6"/>
            <w:shd w:val="clear" w:color="auto" w:fill="auto"/>
            <w:tcMar>
              <w:top w:w="113" w:type="dxa"/>
              <w:left w:w="113" w:type="dxa"/>
              <w:bottom w:w="113" w:type="dxa"/>
              <w:right w:w="113" w:type="dxa"/>
            </w:tcMar>
          </w:tcPr>
          <w:p w14:paraId="665A9495" w14:textId="77777777" w:rsidR="004A7EDA" w:rsidRPr="004A7EDA" w:rsidRDefault="004A7EDA" w:rsidP="00286AE3">
            <w:pPr>
              <w:pStyle w:val="TableCopy"/>
            </w:pPr>
            <w:r w:rsidRPr="004A7EDA">
              <w:t>Lower result due to impact of COVID-19 restrictions which resulted in closures and restricted programming.</w:t>
            </w:r>
          </w:p>
        </w:tc>
      </w:tr>
      <w:tr w:rsidR="004A7EDA" w:rsidRPr="004A7EDA" w14:paraId="072D39D5" w14:textId="77777777" w:rsidTr="00773C3E">
        <w:trPr>
          <w:trHeight w:val="113"/>
        </w:trPr>
        <w:tc>
          <w:tcPr>
            <w:tcW w:w="4479" w:type="dxa"/>
            <w:shd w:val="clear" w:color="auto" w:fill="auto"/>
            <w:tcMar>
              <w:top w:w="113" w:type="dxa"/>
              <w:left w:w="28" w:type="dxa"/>
              <w:bottom w:w="113" w:type="dxa"/>
              <w:right w:w="28" w:type="dxa"/>
            </w:tcMar>
          </w:tcPr>
          <w:p w14:paraId="5876C3DA" w14:textId="77777777" w:rsidR="004A7EDA" w:rsidRPr="004A7EDA" w:rsidRDefault="004A7EDA" w:rsidP="00286AE3">
            <w:pPr>
              <w:pStyle w:val="TableCopy"/>
              <w:rPr>
                <w:lang w:val="en-GB"/>
              </w:rPr>
            </w:pPr>
            <w:r w:rsidRPr="004A7EDA">
              <w:rPr>
                <w:lang w:val="en-GB"/>
              </w:rPr>
              <w:t>Attendances at Museums Victoria</w:t>
            </w:r>
          </w:p>
        </w:tc>
        <w:tc>
          <w:tcPr>
            <w:tcW w:w="964" w:type="dxa"/>
            <w:shd w:val="clear" w:color="auto" w:fill="auto"/>
            <w:tcMar>
              <w:top w:w="113" w:type="dxa"/>
              <w:left w:w="28" w:type="dxa"/>
              <w:bottom w:w="113" w:type="dxa"/>
              <w:right w:w="28" w:type="dxa"/>
            </w:tcMar>
          </w:tcPr>
          <w:p w14:paraId="5F445870"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5C019D26" w14:textId="77777777" w:rsidR="004A7EDA" w:rsidRPr="004A7EDA" w:rsidRDefault="004A7EDA" w:rsidP="00286AE3">
            <w:pPr>
              <w:pStyle w:val="TableCopy"/>
              <w:rPr>
                <w:lang w:val="en-GB"/>
              </w:rPr>
            </w:pPr>
            <w:r w:rsidRPr="004A7EDA">
              <w:rPr>
                <w:lang w:val="en-GB"/>
              </w:rPr>
              <w:t>698</w:t>
            </w:r>
          </w:p>
        </w:tc>
        <w:tc>
          <w:tcPr>
            <w:tcW w:w="964" w:type="dxa"/>
            <w:shd w:val="clear" w:color="auto" w:fill="auto"/>
            <w:tcMar>
              <w:top w:w="113" w:type="dxa"/>
              <w:left w:w="28" w:type="dxa"/>
              <w:bottom w:w="113" w:type="dxa"/>
              <w:right w:w="28" w:type="dxa"/>
            </w:tcMar>
          </w:tcPr>
          <w:p w14:paraId="44F69A30" w14:textId="77777777" w:rsidR="004A7EDA" w:rsidRPr="004A7EDA" w:rsidRDefault="004A7EDA" w:rsidP="00286AE3">
            <w:pPr>
              <w:pStyle w:val="TableCopy"/>
              <w:rPr>
                <w:lang w:val="en-GB"/>
              </w:rPr>
            </w:pPr>
            <w:r w:rsidRPr="004A7EDA">
              <w:rPr>
                <w:lang w:val="en-GB"/>
              </w:rPr>
              <w:t>2,000</w:t>
            </w:r>
          </w:p>
        </w:tc>
        <w:tc>
          <w:tcPr>
            <w:tcW w:w="1304" w:type="dxa"/>
            <w:shd w:val="clear" w:color="auto" w:fill="auto"/>
            <w:tcMar>
              <w:top w:w="113" w:type="dxa"/>
              <w:left w:w="28" w:type="dxa"/>
              <w:bottom w:w="113" w:type="dxa"/>
              <w:right w:w="28" w:type="dxa"/>
            </w:tcMar>
          </w:tcPr>
          <w:p w14:paraId="4386060B" w14:textId="77777777" w:rsidR="004A7EDA" w:rsidRPr="004A7EDA" w:rsidRDefault="004A7EDA" w:rsidP="00286AE3">
            <w:pPr>
              <w:pStyle w:val="TableCopy"/>
              <w:rPr>
                <w:lang w:val="en-GB"/>
              </w:rPr>
            </w:pPr>
            <w:r w:rsidRPr="004A7EDA">
              <w:rPr>
                <w:lang w:val="en-GB"/>
              </w:rPr>
              <w:t>-65.1%</w:t>
            </w:r>
          </w:p>
        </w:tc>
        <w:tc>
          <w:tcPr>
            <w:tcW w:w="964" w:type="dxa"/>
            <w:shd w:val="clear" w:color="auto" w:fill="auto"/>
            <w:tcMar>
              <w:top w:w="113" w:type="dxa"/>
              <w:left w:w="28" w:type="dxa"/>
              <w:bottom w:w="113" w:type="dxa"/>
              <w:right w:w="28" w:type="dxa"/>
            </w:tcMar>
          </w:tcPr>
          <w:p w14:paraId="07A2AF56" w14:textId="4053526F" w:rsidR="004A7EDA" w:rsidRPr="004A7EDA" w:rsidRDefault="00120E9E" w:rsidP="00286AE3">
            <w:pPr>
              <w:pStyle w:val="TableCopy"/>
              <w:rPr>
                <w:lang w:val="en-GB"/>
              </w:rPr>
            </w:pPr>
            <w:r>
              <w:rPr>
                <w:lang w:val="en-GB"/>
              </w:rPr>
              <w:t>#</w:t>
            </w:r>
          </w:p>
        </w:tc>
      </w:tr>
      <w:tr w:rsidR="004A7EDA" w:rsidRPr="004A7EDA" w14:paraId="258214D6" w14:textId="77777777" w:rsidTr="00773C3E">
        <w:trPr>
          <w:trHeight w:val="113"/>
        </w:trPr>
        <w:tc>
          <w:tcPr>
            <w:tcW w:w="9638" w:type="dxa"/>
            <w:gridSpan w:val="6"/>
            <w:shd w:val="clear" w:color="auto" w:fill="auto"/>
            <w:tcMar>
              <w:top w:w="113" w:type="dxa"/>
              <w:left w:w="113" w:type="dxa"/>
              <w:bottom w:w="113" w:type="dxa"/>
              <w:right w:w="113" w:type="dxa"/>
            </w:tcMar>
          </w:tcPr>
          <w:p w14:paraId="6D104DB5" w14:textId="77777777" w:rsidR="004A7EDA" w:rsidRPr="004A7EDA" w:rsidRDefault="004A7EDA" w:rsidP="00286AE3">
            <w:pPr>
              <w:pStyle w:val="TableCopy"/>
            </w:pPr>
            <w:r w:rsidRPr="004A7EDA">
              <w:t>Lower result due to impact of COVID-19 restrictions which resulted in closures and restricted programming.</w:t>
            </w:r>
          </w:p>
        </w:tc>
      </w:tr>
      <w:tr w:rsidR="004A7EDA" w:rsidRPr="004A7EDA" w14:paraId="2A71ADBC" w14:textId="77777777" w:rsidTr="00773C3E">
        <w:trPr>
          <w:trHeight w:val="113"/>
        </w:trPr>
        <w:tc>
          <w:tcPr>
            <w:tcW w:w="4479" w:type="dxa"/>
            <w:shd w:val="clear" w:color="auto" w:fill="auto"/>
            <w:tcMar>
              <w:top w:w="113" w:type="dxa"/>
              <w:left w:w="28" w:type="dxa"/>
              <w:bottom w:w="113" w:type="dxa"/>
              <w:right w:w="28" w:type="dxa"/>
            </w:tcMar>
          </w:tcPr>
          <w:p w14:paraId="0A6627CB" w14:textId="77777777" w:rsidR="004A7EDA" w:rsidRPr="004A7EDA" w:rsidRDefault="004A7EDA" w:rsidP="00286AE3">
            <w:pPr>
              <w:pStyle w:val="TableCopy"/>
              <w:rPr>
                <w:lang w:val="en-GB"/>
              </w:rPr>
            </w:pPr>
            <w:r w:rsidRPr="004A7EDA">
              <w:rPr>
                <w:lang w:val="en-GB"/>
              </w:rPr>
              <w:t>Attendances at National Gallery of Victoria</w:t>
            </w:r>
          </w:p>
        </w:tc>
        <w:tc>
          <w:tcPr>
            <w:tcW w:w="964" w:type="dxa"/>
            <w:shd w:val="clear" w:color="auto" w:fill="auto"/>
            <w:tcMar>
              <w:top w:w="113" w:type="dxa"/>
              <w:left w:w="28" w:type="dxa"/>
              <w:bottom w:w="113" w:type="dxa"/>
              <w:right w:w="28" w:type="dxa"/>
            </w:tcMar>
          </w:tcPr>
          <w:p w14:paraId="0C114641"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0DC0E53D" w14:textId="77777777" w:rsidR="004A7EDA" w:rsidRPr="004A7EDA" w:rsidRDefault="004A7EDA" w:rsidP="00286AE3">
            <w:pPr>
              <w:pStyle w:val="TableCopy"/>
              <w:rPr>
                <w:lang w:val="en-GB"/>
              </w:rPr>
            </w:pPr>
            <w:r w:rsidRPr="004A7EDA">
              <w:rPr>
                <w:lang w:val="en-GB"/>
              </w:rPr>
              <w:t>773</w:t>
            </w:r>
          </w:p>
        </w:tc>
        <w:tc>
          <w:tcPr>
            <w:tcW w:w="964" w:type="dxa"/>
            <w:shd w:val="clear" w:color="auto" w:fill="auto"/>
            <w:tcMar>
              <w:top w:w="113" w:type="dxa"/>
              <w:left w:w="28" w:type="dxa"/>
              <w:bottom w:w="113" w:type="dxa"/>
              <w:right w:w="28" w:type="dxa"/>
            </w:tcMar>
          </w:tcPr>
          <w:p w14:paraId="3C26FC6C" w14:textId="77777777" w:rsidR="004A7EDA" w:rsidRPr="004A7EDA" w:rsidRDefault="004A7EDA" w:rsidP="00286AE3">
            <w:pPr>
              <w:pStyle w:val="TableCopy"/>
              <w:rPr>
                <w:lang w:val="en-GB"/>
              </w:rPr>
            </w:pPr>
            <w:r w:rsidRPr="004A7EDA">
              <w:rPr>
                <w:lang w:val="en-GB"/>
              </w:rPr>
              <w:t>2,235</w:t>
            </w:r>
          </w:p>
        </w:tc>
        <w:tc>
          <w:tcPr>
            <w:tcW w:w="1304" w:type="dxa"/>
            <w:shd w:val="clear" w:color="auto" w:fill="auto"/>
            <w:tcMar>
              <w:top w:w="113" w:type="dxa"/>
              <w:left w:w="28" w:type="dxa"/>
              <w:bottom w:w="113" w:type="dxa"/>
              <w:right w:w="28" w:type="dxa"/>
            </w:tcMar>
          </w:tcPr>
          <w:p w14:paraId="3EAE9BF8" w14:textId="77777777" w:rsidR="004A7EDA" w:rsidRPr="004A7EDA" w:rsidRDefault="004A7EDA" w:rsidP="00286AE3">
            <w:pPr>
              <w:pStyle w:val="TableCopy"/>
              <w:rPr>
                <w:lang w:val="en-GB"/>
              </w:rPr>
            </w:pPr>
            <w:r w:rsidRPr="004A7EDA">
              <w:rPr>
                <w:lang w:val="en-GB"/>
              </w:rPr>
              <w:t>-65.4%</w:t>
            </w:r>
          </w:p>
        </w:tc>
        <w:tc>
          <w:tcPr>
            <w:tcW w:w="964" w:type="dxa"/>
            <w:shd w:val="clear" w:color="auto" w:fill="auto"/>
            <w:tcMar>
              <w:top w:w="113" w:type="dxa"/>
              <w:left w:w="28" w:type="dxa"/>
              <w:bottom w:w="113" w:type="dxa"/>
              <w:right w:w="28" w:type="dxa"/>
            </w:tcMar>
          </w:tcPr>
          <w:p w14:paraId="4BA23FAD" w14:textId="7C2DFEC5" w:rsidR="004A7EDA" w:rsidRPr="004A7EDA" w:rsidRDefault="00120E9E" w:rsidP="00286AE3">
            <w:pPr>
              <w:pStyle w:val="TableCopy"/>
              <w:rPr>
                <w:lang w:val="en-GB"/>
              </w:rPr>
            </w:pPr>
            <w:r>
              <w:rPr>
                <w:lang w:val="en-GB"/>
              </w:rPr>
              <w:t>#</w:t>
            </w:r>
          </w:p>
        </w:tc>
      </w:tr>
      <w:tr w:rsidR="004A7EDA" w:rsidRPr="004A7EDA" w14:paraId="60840E28" w14:textId="77777777" w:rsidTr="00773C3E">
        <w:trPr>
          <w:trHeight w:val="113"/>
        </w:trPr>
        <w:tc>
          <w:tcPr>
            <w:tcW w:w="9638" w:type="dxa"/>
            <w:gridSpan w:val="6"/>
            <w:shd w:val="clear" w:color="auto" w:fill="auto"/>
            <w:tcMar>
              <w:top w:w="113" w:type="dxa"/>
              <w:left w:w="113" w:type="dxa"/>
              <w:bottom w:w="113" w:type="dxa"/>
              <w:right w:w="113" w:type="dxa"/>
            </w:tcMar>
          </w:tcPr>
          <w:p w14:paraId="6622CFA0" w14:textId="77777777" w:rsidR="004A7EDA" w:rsidRPr="004A7EDA" w:rsidRDefault="004A7EDA" w:rsidP="00286AE3">
            <w:pPr>
              <w:pStyle w:val="TableCopy"/>
            </w:pPr>
            <w:r w:rsidRPr="004A7EDA">
              <w:t>Lower result due to impact of COVID-19 restrictions which resulted in closures and restricted programming.</w:t>
            </w:r>
          </w:p>
        </w:tc>
      </w:tr>
      <w:tr w:rsidR="004A7EDA" w:rsidRPr="004A7EDA" w14:paraId="21923B2E" w14:textId="77777777" w:rsidTr="00773C3E">
        <w:trPr>
          <w:trHeight w:val="113"/>
        </w:trPr>
        <w:tc>
          <w:tcPr>
            <w:tcW w:w="4479" w:type="dxa"/>
            <w:shd w:val="clear" w:color="auto" w:fill="auto"/>
            <w:tcMar>
              <w:top w:w="113" w:type="dxa"/>
              <w:left w:w="28" w:type="dxa"/>
              <w:bottom w:w="113" w:type="dxa"/>
              <w:right w:w="28" w:type="dxa"/>
            </w:tcMar>
          </w:tcPr>
          <w:p w14:paraId="451FF6FD" w14:textId="77777777" w:rsidR="004A7EDA" w:rsidRPr="004A7EDA" w:rsidRDefault="004A7EDA" w:rsidP="00286AE3">
            <w:pPr>
              <w:pStyle w:val="TableCopy"/>
              <w:rPr>
                <w:lang w:val="en-GB"/>
              </w:rPr>
            </w:pPr>
            <w:r w:rsidRPr="004A7EDA">
              <w:rPr>
                <w:lang w:val="en-GB"/>
              </w:rPr>
              <w:t>Attendances at State Library Victoria</w:t>
            </w:r>
          </w:p>
        </w:tc>
        <w:tc>
          <w:tcPr>
            <w:tcW w:w="964" w:type="dxa"/>
            <w:shd w:val="clear" w:color="auto" w:fill="auto"/>
            <w:tcMar>
              <w:top w:w="113" w:type="dxa"/>
              <w:left w:w="28" w:type="dxa"/>
              <w:bottom w:w="113" w:type="dxa"/>
              <w:right w:w="28" w:type="dxa"/>
            </w:tcMar>
          </w:tcPr>
          <w:p w14:paraId="7653154F" w14:textId="77777777" w:rsidR="004A7EDA" w:rsidRPr="004A7EDA" w:rsidRDefault="004A7EDA" w:rsidP="00286AE3">
            <w:pPr>
              <w:pStyle w:val="TableCopy"/>
              <w:rPr>
                <w:lang w:val="en-GB"/>
              </w:rPr>
            </w:pPr>
            <w:r w:rsidRPr="004A7EDA">
              <w:rPr>
                <w:lang w:val="en-GB"/>
              </w:rPr>
              <w:t>number (000)</w:t>
            </w:r>
          </w:p>
        </w:tc>
        <w:tc>
          <w:tcPr>
            <w:tcW w:w="963" w:type="dxa"/>
            <w:shd w:val="clear" w:color="auto" w:fill="auto"/>
            <w:tcMar>
              <w:top w:w="113" w:type="dxa"/>
              <w:left w:w="28" w:type="dxa"/>
              <w:bottom w:w="113" w:type="dxa"/>
              <w:right w:w="28" w:type="dxa"/>
            </w:tcMar>
          </w:tcPr>
          <w:p w14:paraId="6C6569E3" w14:textId="77777777" w:rsidR="004A7EDA" w:rsidRPr="004A7EDA" w:rsidRDefault="004A7EDA" w:rsidP="00286AE3">
            <w:pPr>
              <w:pStyle w:val="TableCopy"/>
              <w:rPr>
                <w:lang w:val="en-GB"/>
              </w:rPr>
            </w:pPr>
            <w:r w:rsidRPr="004A7EDA">
              <w:rPr>
                <w:lang w:val="en-GB"/>
              </w:rPr>
              <w:t>410</w:t>
            </w:r>
          </w:p>
        </w:tc>
        <w:tc>
          <w:tcPr>
            <w:tcW w:w="964" w:type="dxa"/>
            <w:shd w:val="clear" w:color="auto" w:fill="auto"/>
            <w:tcMar>
              <w:top w:w="113" w:type="dxa"/>
              <w:left w:w="28" w:type="dxa"/>
              <w:bottom w:w="113" w:type="dxa"/>
              <w:right w:w="28" w:type="dxa"/>
            </w:tcMar>
          </w:tcPr>
          <w:p w14:paraId="099C22C7" w14:textId="77777777" w:rsidR="004A7EDA" w:rsidRPr="004A7EDA" w:rsidRDefault="004A7EDA" w:rsidP="00286AE3">
            <w:pPr>
              <w:pStyle w:val="TableCopy"/>
              <w:rPr>
                <w:lang w:val="en-GB"/>
              </w:rPr>
            </w:pPr>
            <w:r w:rsidRPr="004A7EDA">
              <w:rPr>
                <w:lang w:val="en-GB"/>
              </w:rPr>
              <w:t>2,250</w:t>
            </w:r>
          </w:p>
        </w:tc>
        <w:tc>
          <w:tcPr>
            <w:tcW w:w="1304" w:type="dxa"/>
            <w:shd w:val="clear" w:color="auto" w:fill="auto"/>
            <w:tcMar>
              <w:top w:w="113" w:type="dxa"/>
              <w:left w:w="28" w:type="dxa"/>
              <w:bottom w:w="113" w:type="dxa"/>
              <w:right w:w="28" w:type="dxa"/>
            </w:tcMar>
          </w:tcPr>
          <w:p w14:paraId="45EEE2C4" w14:textId="77777777" w:rsidR="004A7EDA" w:rsidRPr="004A7EDA" w:rsidRDefault="004A7EDA" w:rsidP="00286AE3">
            <w:pPr>
              <w:pStyle w:val="TableCopy"/>
              <w:rPr>
                <w:lang w:val="en-GB"/>
              </w:rPr>
            </w:pPr>
            <w:r w:rsidRPr="004A7EDA">
              <w:rPr>
                <w:lang w:val="en-GB"/>
              </w:rPr>
              <w:t>-81.8%</w:t>
            </w:r>
          </w:p>
        </w:tc>
        <w:tc>
          <w:tcPr>
            <w:tcW w:w="964" w:type="dxa"/>
            <w:shd w:val="clear" w:color="auto" w:fill="auto"/>
            <w:tcMar>
              <w:top w:w="113" w:type="dxa"/>
              <w:left w:w="28" w:type="dxa"/>
              <w:bottom w:w="113" w:type="dxa"/>
              <w:right w:w="28" w:type="dxa"/>
            </w:tcMar>
          </w:tcPr>
          <w:p w14:paraId="787E5510" w14:textId="10941828" w:rsidR="004A7EDA" w:rsidRPr="004A7EDA" w:rsidRDefault="00120E9E" w:rsidP="00286AE3">
            <w:pPr>
              <w:pStyle w:val="TableCopy"/>
              <w:rPr>
                <w:lang w:val="en-GB"/>
              </w:rPr>
            </w:pPr>
            <w:r>
              <w:rPr>
                <w:lang w:val="en-GB"/>
              </w:rPr>
              <w:t>#</w:t>
            </w:r>
          </w:p>
        </w:tc>
      </w:tr>
      <w:tr w:rsidR="004A7EDA" w:rsidRPr="004A7EDA" w14:paraId="30A5C829" w14:textId="77777777" w:rsidTr="00773C3E">
        <w:trPr>
          <w:trHeight w:val="113"/>
        </w:trPr>
        <w:tc>
          <w:tcPr>
            <w:tcW w:w="9638" w:type="dxa"/>
            <w:gridSpan w:val="6"/>
            <w:shd w:val="clear" w:color="auto" w:fill="auto"/>
            <w:tcMar>
              <w:top w:w="113" w:type="dxa"/>
              <w:left w:w="113" w:type="dxa"/>
              <w:bottom w:w="113" w:type="dxa"/>
              <w:right w:w="113" w:type="dxa"/>
            </w:tcMar>
          </w:tcPr>
          <w:p w14:paraId="01F50AA3" w14:textId="77777777" w:rsidR="004A7EDA" w:rsidRPr="004A7EDA" w:rsidRDefault="004A7EDA" w:rsidP="00286AE3">
            <w:pPr>
              <w:pStyle w:val="TableCopy"/>
            </w:pPr>
            <w:r w:rsidRPr="004A7EDA">
              <w:t>Lower result due to impact of COVID-19 restrictions which resulted in closures and restricted programming.</w:t>
            </w:r>
          </w:p>
        </w:tc>
      </w:tr>
      <w:tr w:rsidR="004A7EDA" w:rsidRPr="004A7EDA" w14:paraId="6BF2FCAC" w14:textId="77777777" w:rsidTr="00773C3E">
        <w:trPr>
          <w:trHeight w:val="113"/>
        </w:trPr>
        <w:tc>
          <w:tcPr>
            <w:tcW w:w="4479" w:type="dxa"/>
            <w:shd w:val="clear" w:color="auto" w:fill="auto"/>
            <w:tcMar>
              <w:top w:w="113" w:type="dxa"/>
              <w:left w:w="28" w:type="dxa"/>
              <w:bottom w:w="113" w:type="dxa"/>
              <w:right w:w="28" w:type="dxa"/>
            </w:tcMar>
          </w:tcPr>
          <w:p w14:paraId="62FCA888" w14:textId="77777777" w:rsidR="004A7EDA" w:rsidRPr="004A7EDA" w:rsidRDefault="004A7EDA" w:rsidP="00286AE3">
            <w:pPr>
              <w:pStyle w:val="TableCopy"/>
              <w:rPr>
                <w:lang w:val="en-GB"/>
              </w:rPr>
            </w:pPr>
            <w:r w:rsidRPr="004A7EDA">
              <w:rPr>
                <w:lang w:val="en-GB"/>
              </w:rPr>
              <w:t>Members and friends of agencies</w:t>
            </w:r>
          </w:p>
        </w:tc>
        <w:tc>
          <w:tcPr>
            <w:tcW w:w="964" w:type="dxa"/>
            <w:shd w:val="clear" w:color="auto" w:fill="auto"/>
            <w:tcMar>
              <w:top w:w="113" w:type="dxa"/>
              <w:left w:w="28" w:type="dxa"/>
              <w:bottom w:w="113" w:type="dxa"/>
              <w:right w:w="28" w:type="dxa"/>
            </w:tcMar>
          </w:tcPr>
          <w:p w14:paraId="11DA5FDF"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019CA829" w14:textId="77777777" w:rsidR="004A7EDA" w:rsidRPr="004A7EDA" w:rsidRDefault="004A7EDA" w:rsidP="00286AE3">
            <w:pPr>
              <w:pStyle w:val="TableCopy"/>
              <w:rPr>
                <w:lang w:val="en-GB"/>
              </w:rPr>
            </w:pPr>
            <w:r w:rsidRPr="004A7EDA">
              <w:rPr>
                <w:lang w:val="en-GB"/>
              </w:rPr>
              <w:t>53,247</w:t>
            </w:r>
          </w:p>
        </w:tc>
        <w:tc>
          <w:tcPr>
            <w:tcW w:w="964" w:type="dxa"/>
            <w:shd w:val="clear" w:color="auto" w:fill="auto"/>
            <w:tcMar>
              <w:top w:w="113" w:type="dxa"/>
              <w:left w:w="28" w:type="dxa"/>
              <w:bottom w:w="113" w:type="dxa"/>
              <w:right w:w="28" w:type="dxa"/>
            </w:tcMar>
          </w:tcPr>
          <w:p w14:paraId="71EBDE92" w14:textId="77777777" w:rsidR="004A7EDA" w:rsidRPr="004A7EDA" w:rsidRDefault="004A7EDA" w:rsidP="00286AE3">
            <w:pPr>
              <w:pStyle w:val="TableCopy"/>
              <w:rPr>
                <w:lang w:val="en-GB"/>
              </w:rPr>
            </w:pPr>
            <w:r w:rsidRPr="004A7EDA">
              <w:rPr>
                <w:lang w:val="en-GB"/>
              </w:rPr>
              <w:t>57,000</w:t>
            </w:r>
          </w:p>
        </w:tc>
        <w:tc>
          <w:tcPr>
            <w:tcW w:w="1304" w:type="dxa"/>
            <w:shd w:val="clear" w:color="auto" w:fill="auto"/>
            <w:tcMar>
              <w:top w:w="113" w:type="dxa"/>
              <w:left w:w="28" w:type="dxa"/>
              <w:bottom w:w="113" w:type="dxa"/>
              <w:right w:w="28" w:type="dxa"/>
            </w:tcMar>
          </w:tcPr>
          <w:p w14:paraId="00C6714B" w14:textId="77777777" w:rsidR="004A7EDA" w:rsidRPr="004A7EDA" w:rsidRDefault="004A7EDA" w:rsidP="00286AE3">
            <w:pPr>
              <w:pStyle w:val="TableCopy"/>
              <w:rPr>
                <w:lang w:val="en-GB"/>
              </w:rPr>
            </w:pPr>
            <w:r w:rsidRPr="004A7EDA">
              <w:rPr>
                <w:lang w:val="en-GB"/>
              </w:rPr>
              <w:t>-6.6%</w:t>
            </w:r>
          </w:p>
        </w:tc>
        <w:tc>
          <w:tcPr>
            <w:tcW w:w="964" w:type="dxa"/>
            <w:shd w:val="clear" w:color="auto" w:fill="auto"/>
            <w:tcMar>
              <w:top w:w="113" w:type="dxa"/>
              <w:left w:w="28" w:type="dxa"/>
              <w:bottom w:w="113" w:type="dxa"/>
              <w:right w:w="28" w:type="dxa"/>
            </w:tcMar>
          </w:tcPr>
          <w:p w14:paraId="57F4F8A0" w14:textId="7CF91CD5" w:rsidR="004A7EDA" w:rsidRPr="004A7EDA" w:rsidRDefault="00120E9E" w:rsidP="00286AE3">
            <w:pPr>
              <w:pStyle w:val="TableCopy"/>
              <w:rPr>
                <w:lang w:val="en-GB"/>
              </w:rPr>
            </w:pPr>
            <w:r>
              <w:rPr>
                <w:lang w:val="en-GB"/>
              </w:rPr>
              <w:t>#</w:t>
            </w:r>
          </w:p>
        </w:tc>
      </w:tr>
      <w:tr w:rsidR="004A7EDA" w:rsidRPr="004A7EDA" w14:paraId="611C36C9" w14:textId="77777777" w:rsidTr="00773C3E">
        <w:trPr>
          <w:trHeight w:val="113"/>
        </w:trPr>
        <w:tc>
          <w:tcPr>
            <w:tcW w:w="9638" w:type="dxa"/>
            <w:gridSpan w:val="6"/>
            <w:shd w:val="clear" w:color="auto" w:fill="auto"/>
            <w:tcMar>
              <w:top w:w="113" w:type="dxa"/>
              <w:left w:w="113" w:type="dxa"/>
              <w:bottom w:w="113" w:type="dxa"/>
              <w:right w:w="113" w:type="dxa"/>
            </w:tcMar>
          </w:tcPr>
          <w:p w14:paraId="63D44306" w14:textId="77777777" w:rsidR="004A7EDA" w:rsidRPr="004A7EDA" w:rsidRDefault="004A7EDA" w:rsidP="00286AE3">
            <w:pPr>
              <w:pStyle w:val="TableCopy"/>
            </w:pPr>
            <w:r w:rsidRPr="004A7EDA">
              <w:t>Lower result due to impact of COVID-19 restrictions which resulted in closures and restricted programming.</w:t>
            </w:r>
          </w:p>
        </w:tc>
      </w:tr>
      <w:tr w:rsidR="004A7EDA" w:rsidRPr="004A7EDA" w14:paraId="1DCF0337" w14:textId="77777777" w:rsidTr="00773C3E">
        <w:trPr>
          <w:trHeight w:val="113"/>
        </w:trPr>
        <w:tc>
          <w:tcPr>
            <w:tcW w:w="4479" w:type="dxa"/>
            <w:shd w:val="clear" w:color="auto" w:fill="auto"/>
            <w:tcMar>
              <w:top w:w="113" w:type="dxa"/>
              <w:left w:w="28" w:type="dxa"/>
              <w:bottom w:w="113" w:type="dxa"/>
              <w:right w:w="28" w:type="dxa"/>
            </w:tcMar>
          </w:tcPr>
          <w:p w14:paraId="126EB5A8" w14:textId="77777777" w:rsidR="004A7EDA" w:rsidRPr="004A7EDA" w:rsidRDefault="004A7EDA" w:rsidP="00286AE3">
            <w:pPr>
              <w:pStyle w:val="TableCopy"/>
              <w:rPr>
                <w:lang w:val="en-GB"/>
              </w:rPr>
            </w:pPr>
            <w:r w:rsidRPr="004A7EDA">
              <w:rPr>
                <w:lang w:val="en-GB"/>
              </w:rPr>
              <w:t>Students participating in agency education programs</w:t>
            </w:r>
          </w:p>
        </w:tc>
        <w:tc>
          <w:tcPr>
            <w:tcW w:w="964" w:type="dxa"/>
            <w:shd w:val="clear" w:color="auto" w:fill="auto"/>
            <w:tcMar>
              <w:top w:w="113" w:type="dxa"/>
              <w:left w:w="28" w:type="dxa"/>
              <w:bottom w:w="113" w:type="dxa"/>
              <w:right w:w="28" w:type="dxa"/>
            </w:tcMar>
          </w:tcPr>
          <w:p w14:paraId="3C3BB271"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9396CAB" w14:textId="77777777" w:rsidR="004A7EDA" w:rsidRPr="004A7EDA" w:rsidRDefault="004A7EDA" w:rsidP="00286AE3">
            <w:pPr>
              <w:pStyle w:val="TableCopy"/>
              <w:rPr>
                <w:lang w:val="en-GB"/>
              </w:rPr>
            </w:pPr>
            <w:r w:rsidRPr="004A7EDA">
              <w:rPr>
                <w:lang w:val="en-GB"/>
              </w:rPr>
              <w:t>435,501</w:t>
            </w:r>
          </w:p>
        </w:tc>
        <w:tc>
          <w:tcPr>
            <w:tcW w:w="964" w:type="dxa"/>
            <w:shd w:val="clear" w:color="auto" w:fill="auto"/>
            <w:tcMar>
              <w:top w:w="113" w:type="dxa"/>
              <w:left w:w="28" w:type="dxa"/>
              <w:bottom w:w="113" w:type="dxa"/>
              <w:right w:w="28" w:type="dxa"/>
            </w:tcMar>
          </w:tcPr>
          <w:p w14:paraId="0B0AD13D" w14:textId="77777777" w:rsidR="004A7EDA" w:rsidRPr="004A7EDA" w:rsidRDefault="004A7EDA" w:rsidP="00286AE3">
            <w:pPr>
              <w:pStyle w:val="TableCopy"/>
              <w:rPr>
                <w:lang w:val="en-GB"/>
              </w:rPr>
            </w:pPr>
            <w:r w:rsidRPr="004A7EDA">
              <w:rPr>
                <w:lang w:val="en-GB"/>
              </w:rPr>
              <w:t>550,000</w:t>
            </w:r>
          </w:p>
        </w:tc>
        <w:tc>
          <w:tcPr>
            <w:tcW w:w="1304" w:type="dxa"/>
            <w:shd w:val="clear" w:color="auto" w:fill="auto"/>
            <w:tcMar>
              <w:top w:w="113" w:type="dxa"/>
              <w:left w:w="28" w:type="dxa"/>
              <w:bottom w:w="113" w:type="dxa"/>
              <w:right w:w="28" w:type="dxa"/>
            </w:tcMar>
          </w:tcPr>
          <w:p w14:paraId="3909C0F7" w14:textId="77777777" w:rsidR="004A7EDA" w:rsidRPr="004A7EDA" w:rsidRDefault="004A7EDA" w:rsidP="00286AE3">
            <w:pPr>
              <w:pStyle w:val="TableCopy"/>
              <w:rPr>
                <w:lang w:val="en-GB"/>
              </w:rPr>
            </w:pPr>
            <w:r w:rsidRPr="004A7EDA">
              <w:rPr>
                <w:lang w:val="en-GB"/>
              </w:rPr>
              <w:t>-20.8%</w:t>
            </w:r>
          </w:p>
        </w:tc>
        <w:tc>
          <w:tcPr>
            <w:tcW w:w="964" w:type="dxa"/>
            <w:shd w:val="clear" w:color="auto" w:fill="auto"/>
            <w:tcMar>
              <w:top w:w="113" w:type="dxa"/>
              <w:left w:w="28" w:type="dxa"/>
              <w:bottom w:w="113" w:type="dxa"/>
              <w:right w:w="28" w:type="dxa"/>
            </w:tcMar>
          </w:tcPr>
          <w:p w14:paraId="463C9939" w14:textId="0CB00FFF" w:rsidR="004A7EDA" w:rsidRPr="004A7EDA" w:rsidRDefault="00120E9E" w:rsidP="00286AE3">
            <w:pPr>
              <w:pStyle w:val="TableCopy"/>
              <w:rPr>
                <w:lang w:val="en-GB"/>
              </w:rPr>
            </w:pPr>
            <w:r>
              <w:rPr>
                <w:lang w:val="en-GB"/>
              </w:rPr>
              <w:t>#</w:t>
            </w:r>
          </w:p>
        </w:tc>
      </w:tr>
      <w:tr w:rsidR="004A7EDA" w:rsidRPr="004A7EDA" w14:paraId="088233B2" w14:textId="77777777" w:rsidTr="00773C3E">
        <w:trPr>
          <w:trHeight w:val="113"/>
        </w:trPr>
        <w:tc>
          <w:tcPr>
            <w:tcW w:w="9638" w:type="dxa"/>
            <w:gridSpan w:val="6"/>
            <w:shd w:val="clear" w:color="auto" w:fill="auto"/>
            <w:tcMar>
              <w:top w:w="113" w:type="dxa"/>
              <w:left w:w="113" w:type="dxa"/>
              <w:bottom w:w="113" w:type="dxa"/>
              <w:right w:w="113" w:type="dxa"/>
            </w:tcMar>
          </w:tcPr>
          <w:p w14:paraId="29BB10DA" w14:textId="77777777" w:rsidR="004A7EDA" w:rsidRPr="004A7EDA" w:rsidRDefault="004A7EDA" w:rsidP="00286AE3">
            <w:pPr>
              <w:pStyle w:val="TableCopy"/>
            </w:pPr>
            <w:r w:rsidRPr="004A7EDA">
              <w:t>Lower result due to the impact of COVID-19 and closures at the agencies, which meant school groups were unable to attend the various education programs hosted by agencies. Agencies are offering online education programs.</w:t>
            </w:r>
          </w:p>
        </w:tc>
      </w:tr>
      <w:tr w:rsidR="004A7EDA" w:rsidRPr="004A7EDA" w14:paraId="4022373C" w14:textId="77777777" w:rsidTr="00773C3E">
        <w:trPr>
          <w:trHeight w:val="113"/>
        </w:trPr>
        <w:tc>
          <w:tcPr>
            <w:tcW w:w="4479" w:type="dxa"/>
            <w:shd w:val="clear" w:color="auto" w:fill="auto"/>
            <w:tcMar>
              <w:top w:w="113" w:type="dxa"/>
              <w:left w:w="28" w:type="dxa"/>
              <w:bottom w:w="113" w:type="dxa"/>
              <w:right w:w="28" w:type="dxa"/>
            </w:tcMar>
          </w:tcPr>
          <w:p w14:paraId="0605E57F" w14:textId="77777777" w:rsidR="004A7EDA" w:rsidRPr="004A7EDA" w:rsidRDefault="004A7EDA" w:rsidP="00286AE3">
            <w:pPr>
              <w:pStyle w:val="TableCopy"/>
              <w:rPr>
                <w:lang w:val="en-GB"/>
              </w:rPr>
            </w:pPr>
            <w:r w:rsidRPr="004A7EDA">
              <w:rPr>
                <w:lang w:val="en-GB"/>
              </w:rPr>
              <w:t>Value of film, television and digital media production supported by Film Victoria</w:t>
            </w:r>
          </w:p>
        </w:tc>
        <w:tc>
          <w:tcPr>
            <w:tcW w:w="964" w:type="dxa"/>
            <w:shd w:val="clear" w:color="auto" w:fill="auto"/>
            <w:tcMar>
              <w:top w:w="113" w:type="dxa"/>
              <w:left w:w="28" w:type="dxa"/>
              <w:bottom w:w="113" w:type="dxa"/>
              <w:right w:w="28" w:type="dxa"/>
            </w:tcMar>
          </w:tcPr>
          <w:p w14:paraId="2B41E499" w14:textId="77777777" w:rsidR="004A7EDA" w:rsidRPr="004A7EDA" w:rsidRDefault="004A7EDA" w:rsidP="00286AE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19EB828C" w14:textId="77777777" w:rsidR="004A7EDA" w:rsidRPr="004A7EDA" w:rsidRDefault="004A7EDA" w:rsidP="00286AE3">
            <w:pPr>
              <w:pStyle w:val="TableCopy"/>
              <w:rPr>
                <w:lang w:val="en-GB"/>
              </w:rPr>
            </w:pPr>
            <w:r w:rsidRPr="004A7EDA">
              <w:rPr>
                <w:lang w:val="en-GB"/>
              </w:rPr>
              <w:t>391</w:t>
            </w:r>
          </w:p>
        </w:tc>
        <w:tc>
          <w:tcPr>
            <w:tcW w:w="964" w:type="dxa"/>
            <w:shd w:val="clear" w:color="auto" w:fill="auto"/>
            <w:tcMar>
              <w:top w:w="113" w:type="dxa"/>
              <w:left w:w="28" w:type="dxa"/>
              <w:bottom w:w="113" w:type="dxa"/>
              <w:right w:w="28" w:type="dxa"/>
            </w:tcMar>
          </w:tcPr>
          <w:p w14:paraId="7AFBFAD7" w14:textId="77777777" w:rsidR="004A7EDA" w:rsidRPr="004A7EDA" w:rsidRDefault="004A7EDA" w:rsidP="00286AE3">
            <w:pPr>
              <w:pStyle w:val="TableCopy"/>
              <w:rPr>
                <w:lang w:val="en-GB"/>
              </w:rPr>
            </w:pPr>
            <w:r w:rsidRPr="004A7EDA">
              <w:rPr>
                <w:lang w:val="en-GB"/>
              </w:rPr>
              <w:t>327</w:t>
            </w:r>
          </w:p>
        </w:tc>
        <w:tc>
          <w:tcPr>
            <w:tcW w:w="1304" w:type="dxa"/>
            <w:shd w:val="clear" w:color="auto" w:fill="auto"/>
            <w:tcMar>
              <w:top w:w="113" w:type="dxa"/>
              <w:left w:w="28" w:type="dxa"/>
              <w:bottom w:w="113" w:type="dxa"/>
              <w:right w:w="28" w:type="dxa"/>
            </w:tcMar>
          </w:tcPr>
          <w:p w14:paraId="2FD2FCF9" w14:textId="77777777" w:rsidR="004A7EDA" w:rsidRPr="004A7EDA" w:rsidRDefault="004A7EDA" w:rsidP="00286AE3">
            <w:pPr>
              <w:pStyle w:val="TableCopy"/>
              <w:rPr>
                <w:lang w:val="en-GB"/>
              </w:rPr>
            </w:pPr>
            <w:r w:rsidRPr="004A7EDA">
              <w:rPr>
                <w:lang w:val="en-GB"/>
              </w:rPr>
              <w:t>19.6%</w:t>
            </w:r>
          </w:p>
        </w:tc>
        <w:tc>
          <w:tcPr>
            <w:tcW w:w="964" w:type="dxa"/>
            <w:shd w:val="clear" w:color="auto" w:fill="auto"/>
            <w:tcMar>
              <w:top w:w="113" w:type="dxa"/>
              <w:left w:w="28" w:type="dxa"/>
              <w:bottom w:w="113" w:type="dxa"/>
              <w:right w:w="28" w:type="dxa"/>
            </w:tcMar>
          </w:tcPr>
          <w:p w14:paraId="4C3FA177" w14:textId="5396C361" w:rsidR="004A7EDA" w:rsidRPr="004A7EDA" w:rsidRDefault="00120E9E" w:rsidP="00286AE3">
            <w:pPr>
              <w:pStyle w:val="TableCopy"/>
              <w:rPr>
                <w:lang w:val="en-GB"/>
              </w:rPr>
            </w:pPr>
            <w:r>
              <w:rPr>
                <w:lang w:val="en-GB"/>
              </w:rPr>
              <w:t>*</w:t>
            </w:r>
          </w:p>
        </w:tc>
      </w:tr>
      <w:tr w:rsidR="004A7EDA" w:rsidRPr="004A7EDA" w14:paraId="559C12B7" w14:textId="77777777" w:rsidTr="00773C3E">
        <w:trPr>
          <w:trHeight w:val="113"/>
        </w:trPr>
        <w:tc>
          <w:tcPr>
            <w:tcW w:w="9638" w:type="dxa"/>
            <w:gridSpan w:val="6"/>
            <w:shd w:val="clear" w:color="auto" w:fill="auto"/>
            <w:tcMar>
              <w:top w:w="113" w:type="dxa"/>
              <w:left w:w="113" w:type="dxa"/>
              <w:bottom w:w="113" w:type="dxa"/>
              <w:right w:w="113" w:type="dxa"/>
            </w:tcMar>
          </w:tcPr>
          <w:p w14:paraId="7BADCCF0" w14:textId="77777777" w:rsidR="004A7EDA" w:rsidRPr="004A7EDA" w:rsidRDefault="004A7EDA" w:rsidP="00286AE3">
            <w:pPr>
              <w:pStyle w:val="TableCopy"/>
            </w:pPr>
            <w:r w:rsidRPr="004A7EDA">
              <w:t xml:space="preserve">Higher result due to the two COVID-19 support packages from government (Creative State: Screen Industry Survival Package and Screen Industry Crisis Recovery Plan), which enabled greater support for local production and helped to attract a diverse range of film, </w:t>
            </w:r>
            <w:proofErr w:type="gramStart"/>
            <w:r w:rsidRPr="004A7EDA">
              <w:t>screen</w:t>
            </w:r>
            <w:proofErr w:type="gramEnd"/>
            <w:r w:rsidRPr="004A7EDA">
              <w:t xml:space="preserve"> and games production activity to Victoria.</w:t>
            </w:r>
          </w:p>
        </w:tc>
      </w:tr>
      <w:tr w:rsidR="004A7EDA" w:rsidRPr="004A7EDA" w14:paraId="12560C9D" w14:textId="77777777" w:rsidTr="00773C3E">
        <w:trPr>
          <w:trHeight w:val="113"/>
        </w:trPr>
        <w:tc>
          <w:tcPr>
            <w:tcW w:w="4479" w:type="dxa"/>
            <w:shd w:val="clear" w:color="auto" w:fill="auto"/>
            <w:tcMar>
              <w:top w:w="113" w:type="dxa"/>
              <w:left w:w="28" w:type="dxa"/>
              <w:bottom w:w="113" w:type="dxa"/>
              <w:right w:w="28" w:type="dxa"/>
            </w:tcMar>
          </w:tcPr>
          <w:p w14:paraId="5F86D650" w14:textId="77777777" w:rsidR="004A7EDA" w:rsidRPr="004A7EDA" w:rsidRDefault="004A7EDA" w:rsidP="00286AE3">
            <w:pPr>
              <w:pStyle w:val="TableCopy"/>
              <w:rPr>
                <w:lang w:val="en-GB"/>
              </w:rPr>
            </w:pPr>
            <w:r w:rsidRPr="004A7EDA">
              <w:rPr>
                <w:lang w:val="en-GB"/>
              </w:rPr>
              <w:t>Volunteer hours</w:t>
            </w:r>
          </w:p>
        </w:tc>
        <w:tc>
          <w:tcPr>
            <w:tcW w:w="964" w:type="dxa"/>
            <w:shd w:val="clear" w:color="auto" w:fill="auto"/>
            <w:tcMar>
              <w:top w:w="113" w:type="dxa"/>
              <w:left w:w="28" w:type="dxa"/>
              <w:bottom w:w="113" w:type="dxa"/>
              <w:right w:w="28" w:type="dxa"/>
            </w:tcMar>
          </w:tcPr>
          <w:p w14:paraId="52D8A11D"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BA9BE82" w14:textId="77777777" w:rsidR="004A7EDA" w:rsidRPr="004A7EDA" w:rsidRDefault="004A7EDA" w:rsidP="00286AE3">
            <w:pPr>
              <w:pStyle w:val="TableCopy"/>
              <w:rPr>
                <w:lang w:val="en-GB"/>
              </w:rPr>
            </w:pPr>
            <w:r w:rsidRPr="004A7EDA">
              <w:rPr>
                <w:lang w:val="en-GB"/>
              </w:rPr>
              <w:t>14,928</w:t>
            </w:r>
          </w:p>
        </w:tc>
        <w:tc>
          <w:tcPr>
            <w:tcW w:w="964" w:type="dxa"/>
            <w:shd w:val="clear" w:color="auto" w:fill="auto"/>
            <w:tcMar>
              <w:top w:w="113" w:type="dxa"/>
              <w:left w:w="28" w:type="dxa"/>
              <w:bottom w:w="113" w:type="dxa"/>
              <w:right w:w="28" w:type="dxa"/>
            </w:tcMar>
          </w:tcPr>
          <w:p w14:paraId="19FE6D6D" w14:textId="77777777" w:rsidR="004A7EDA" w:rsidRPr="004A7EDA" w:rsidRDefault="004A7EDA" w:rsidP="00286AE3">
            <w:pPr>
              <w:pStyle w:val="TableCopy"/>
              <w:rPr>
                <w:lang w:val="en-GB"/>
              </w:rPr>
            </w:pPr>
            <w:r w:rsidRPr="004A7EDA">
              <w:rPr>
                <w:lang w:val="en-GB"/>
              </w:rPr>
              <w:t>98,900</w:t>
            </w:r>
          </w:p>
        </w:tc>
        <w:tc>
          <w:tcPr>
            <w:tcW w:w="1304" w:type="dxa"/>
            <w:shd w:val="clear" w:color="auto" w:fill="auto"/>
            <w:tcMar>
              <w:top w:w="113" w:type="dxa"/>
              <w:left w:w="28" w:type="dxa"/>
              <w:bottom w:w="113" w:type="dxa"/>
              <w:right w:w="28" w:type="dxa"/>
            </w:tcMar>
          </w:tcPr>
          <w:p w14:paraId="50B8AD29" w14:textId="77777777" w:rsidR="004A7EDA" w:rsidRPr="004A7EDA" w:rsidRDefault="004A7EDA" w:rsidP="00286AE3">
            <w:pPr>
              <w:pStyle w:val="TableCopy"/>
              <w:rPr>
                <w:lang w:val="en-GB"/>
              </w:rPr>
            </w:pPr>
            <w:r w:rsidRPr="004A7EDA">
              <w:rPr>
                <w:lang w:val="en-GB"/>
              </w:rPr>
              <w:t>-84.9%</w:t>
            </w:r>
          </w:p>
        </w:tc>
        <w:tc>
          <w:tcPr>
            <w:tcW w:w="964" w:type="dxa"/>
            <w:shd w:val="clear" w:color="auto" w:fill="auto"/>
            <w:tcMar>
              <w:top w:w="113" w:type="dxa"/>
              <w:left w:w="28" w:type="dxa"/>
              <w:bottom w:w="113" w:type="dxa"/>
              <w:right w:w="28" w:type="dxa"/>
            </w:tcMar>
          </w:tcPr>
          <w:p w14:paraId="57D7F16F" w14:textId="6FDD1084" w:rsidR="004A7EDA" w:rsidRPr="004A7EDA" w:rsidRDefault="00120E9E" w:rsidP="00286AE3">
            <w:pPr>
              <w:pStyle w:val="TableCopy"/>
              <w:rPr>
                <w:lang w:val="en-GB"/>
              </w:rPr>
            </w:pPr>
            <w:r>
              <w:rPr>
                <w:lang w:val="en-GB"/>
              </w:rPr>
              <w:t>#</w:t>
            </w:r>
          </w:p>
        </w:tc>
      </w:tr>
      <w:tr w:rsidR="004A7EDA" w:rsidRPr="004A7EDA" w14:paraId="3922C7D2" w14:textId="77777777" w:rsidTr="00773C3E">
        <w:trPr>
          <w:trHeight w:val="113"/>
        </w:trPr>
        <w:tc>
          <w:tcPr>
            <w:tcW w:w="9638" w:type="dxa"/>
            <w:gridSpan w:val="6"/>
            <w:shd w:val="clear" w:color="auto" w:fill="auto"/>
            <w:tcMar>
              <w:top w:w="113" w:type="dxa"/>
              <w:left w:w="113" w:type="dxa"/>
              <w:bottom w:w="113" w:type="dxa"/>
              <w:right w:w="113" w:type="dxa"/>
            </w:tcMar>
          </w:tcPr>
          <w:p w14:paraId="0A2E9BFC" w14:textId="77777777" w:rsidR="004A7EDA" w:rsidRPr="004A7EDA" w:rsidRDefault="004A7EDA" w:rsidP="00286AE3">
            <w:pPr>
              <w:pStyle w:val="TableCopy"/>
            </w:pPr>
            <w:r w:rsidRPr="004A7EDA">
              <w:t>Lower result due to the impact of COVID-19 and closures at the agencies.</w:t>
            </w:r>
          </w:p>
        </w:tc>
      </w:tr>
      <w:tr w:rsidR="004A7EDA" w:rsidRPr="00773C3E" w14:paraId="116862F7" w14:textId="77777777" w:rsidTr="00773C3E">
        <w:trPr>
          <w:trHeight w:val="113"/>
        </w:trPr>
        <w:tc>
          <w:tcPr>
            <w:tcW w:w="9638" w:type="dxa"/>
            <w:gridSpan w:val="6"/>
            <w:shd w:val="clear" w:color="auto" w:fill="auto"/>
            <w:tcMar>
              <w:top w:w="113" w:type="dxa"/>
              <w:left w:w="28" w:type="dxa"/>
              <w:bottom w:w="113" w:type="dxa"/>
              <w:right w:w="28" w:type="dxa"/>
            </w:tcMar>
          </w:tcPr>
          <w:p w14:paraId="0658A2C0" w14:textId="77777777" w:rsidR="004A7EDA" w:rsidRPr="00773C3E" w:rsidRDefault="004A7EDA" w:rsidP="00286AE3">
            <w:pPr>
              <w:pStyle w:val="TableCopy"/>
            </w:pPr>
            <w:r w:rsidRPr="00773C3E">
              <w:t>Quality</w:t>
            </w:r>
          </w:p>
        </w:tc>
      </w:tr>
      <w:tr w:rsidR="004A7EDA" w:rsidRPr="004A7EDA" w14:paraId="79AA9862" w14:textId="77777777" w:rsidTr="00773C3E">
        <w:trPr>
          <w:trHeight w:val="113"/>
        </w:trPr>
        <w:tc>
          <w:tcPr>
            <w:tcW w:w="4479" w:type="dxa"/>
            <w:shd w:val="clear" w:color="auto" w:fill="auto"/>
            <w:tcMar>
              <w:top w:w="113" w:type="dxa"/>
              <w:left w:w="28" w:type="dxa"/>
              <w:bottom w:w="113" w:type="dxa"/>
              <w:right w:w="28" w:type="dxa"/>
            </w:tcMar>
          </w:tcPr>
          <w:p w14:paraId="6CA94E95" w14:textId="77777777" w:rsidR="004A7EDA" w:rsidRPr="004A7EDA" w:rsidRDefault="004A7EDA" w:rsidP="00286AE3">
            <w:pPr>
              <w:pStyle w:val="TableCopy"/>
              <w:rPr>
                <w:lang w:val="en-GB"/>
              </w:rPr>
            </w:pPr>
            <w:r w:rsidRPr="004A7EDA">
              <w:rPr>
                <w:lang w:val="en-GB"/>
              </w:rPr>
              <w:lastRenderedPageBreak/>
              <w:t>Agency collections storage meeting industry standard</w:t>
            </w:r>
          </w:p>
        </w:tc>
        <w:tc>
          <w:tcPr>
            <w:tcW w:w="964" w:type="dxa"/>
            <w:shd w:val="clear" w:color="auto" w:fill="auto"/>
            <w:tcMar>
              <w:top w:w="113" w:type="dxa"/>
              <w:left w:w="28" w:type="dxa"/>
              <w:bottom w:w="113" w:type="dxa"/>
              <w:right w:w="28" w:type="dxa"/>
            </w:tcMar>
          </w:tcPr>
          <w:p w14:paraId="36389474"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33A3F664" w14:textId="77777777" w:rsidR="004A7EDA" w:rsidRPr="004A7EDA" w:rsidRDefault="004A7EDA" w:rsidP="00286AE3">
            <w:pPr>
              <w:pStyle w:val="TableCopy"/>
              <w:rPr>
                <w:lang w:val="en-GB"/>
              </w:rPr>
            </w:pPr>
            <w:r w:rsidRPr="004A7EDA">
              <w:rPr>
                <w:lang w:val="en-GB"/>
              </w:rPr>
              <w:t>83</w:t>
            </w:r>
          </w:p>
        </w:tc>
        <w:tc>
          <w:tcPr>
            <w:tcW w:w="964" w:type="dxa"/>
            <w:shd w:val="clear" w:color="auto" w:fill="auto"/>
            <w:tcMar>
              <w:top w:w="113" w:type="dxa"/>
              <w:left w:w="28" w:type="dxa"/>
              <w:bottom w:w="113" w:type="dxa"/>
              <w:right w:w="28" w:type="dxa"/>
            </w:tcMar>
          </w:tcPr>
          <w:p w14:paraId="34302269" w14:textId="77777777" w:rsidR="004A7EDA" w:rsidRPr="004A7EDA" w:rsidRDefault="004A7EDA" w:rsidP="00286AE3">
            <w:pPr>
              <w:pStyle w:val="TableCopy"/>
              <w:rPr>
                <w:lang w:val="en-GB"/>
              </w:rPr>
            </w:pPr>
            <w:r w:rsidRPr="004A7EDA">
              <w:rPr>
                <w:lang w:val="en-GB"/>
              </w:rPr>
              <w:t>86</w:t>
            </w:r>
          </w:p>
        </w:tc>
        <w:tc>
          <w:tcPr>
            <w:tcW w:w="1304" w:type="dxa"/>
            <w:shd w:val="clear" w:color="auto" w:fill="auto"/>
            <w:tcMar>
              <w:top w:w="113" w:type="dxa"/>
              <w:left w:w="28" w:type="dxa"/>
              <w:bottom w:w="113" w:type="dxa"/>
              <w:right w:w="28" w:type="dxa"/>
            </w:tcMar>
          </w:tcPr>
          <w:p w14:paraId="35A4E5F2" w14:textId="77777777" w:rsidR="004A7EDA" w:rsidRPr="004A7EDA" w:rsidRDefault="004A7EDA" w:rsidP="00286AE3">
            <w:pPr>
              <w:pStyle w:val="TableCopy"/>
              <w:rPr>
                <w:lang w:val="en-GB"/>
              </w:rPr>
            </w:pPr>
            <w:r w:rsidRPr="004A7EDA">
              <w:rPr>
                <w:lang w:val="en-GB"/>
              </w:rPr>
              <w:t>-3.5%</w:t>
            </w:r>
          </w:p>
        </w:tc>
        <w:tc>
          <w:tcPr>
            <w:tcW w:w="964" w:type="dxa"/>
            <w:shd w:val="clear" w:color="auto" w:fill="auto"/>
            <w:tcMar>
              <w:top w:w="113" w:type="dxa"/>
              <w:left w:w="28" w:type="dxa"/>
              <w:bottom w:w="113" w:type="dxa"/>
              <w:right w:w="28" w:type="dxa"/>
            </w:tcMar>
          </w:tcPr>
          <w:p w14:paraId="1216398D" w14:textId="48D718B3" w:rsidR="004A7EDA" w:rsidRPr="004A7EDA" w:rsidRDefault="00120E9E" w:rsidP="00286AE3">
            <w:pPr>
              <w:pStyle w:val="TableCopy"/>
              <w:rPr>
                <w:lang w:val="en-GB"/>
              </w:rPr>
            </w:pPr>
            <w:r>
              <w:rPr>
                <w:lang w:val="en-GB"/>
              </w:rPr>
              <w:t>–</w:t>
            </w:r>
          </w:p>
        </w:tc>
      </w:tr>
      <w:tr w:rsidR="004A7EDA" w:rsidRPr="004A7EDA" w14:paraId="0951413D" w14:textId="77777777" w:rsidTr="00773C3E">
        <w:trPr>
          <w:trHeight w:val="113"/>
        </w:trPr>
        <w:tc>
          <w:tcPr>
            <w:tcW w:w="4479" w:type="dxa"/>
            <w:shd w:val="clear" w:color="auto" w:fill="auto"/>
            <w:tcMar>
              <w:top w:w="113" w:type="dxa"/>
              <w:left w:w="28" w:type="dxa"/>
              <w:bottom w:w="113" w:type="dxa"/>
              <w:right w:w="28" w:type="dxa"/>
            </w:tcMar>
          </w:tcPr>
          <w:p w14:paraId="20A4D05B" w14:textId="77777777" w:rsidR="004A7EDA" w:rsidRPr="004A7EDA" w:rsidRDefault="004A7EDA" w:rsidP="00286AE3">
            <w:pPr>
              <w:pStyle w:val="TableCopy"/>
              <w:rPr>
                <w:lang w:val="en-GB"/>
              </w:rPr>
            </w:pPr>
            <w:r w:rsidRPr="004A7EDA">
              <w:rPr>
                <w:lang w:val="en-GB"/>
              </w:rPr>
              <w:t>Visitors satisfied with visit: Arts Centre Melbourne</w:t>
            </w:r>
          </w:p>
        </w:tc>
        <w:tc>
          <w:tcPr>
            <w:tcW w:w="964" w:type="dxa"/>
            <w:shd w:val="clear" w:color="auto" w:fill="auto"/>
            <w:tcMar>
              <w:top w:w="113" w:type="dxa"/>
              <w:left w:w="28" w:type="dxa"/>
              <w:bottom w:w="113" w:type="dxa"/>
              <w:right w:w="28" w:type="dxa"/>
            </w:tcMar>
          </w:tcPr>
          <w:p w14:paraId="6DD9E422"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5B11EB94" w14:textId="77777777" w:rsidR="004A7EDA" w:rsidRPr="004A7EDA" w:rsidRDefault="004A7EDA" w:rsidP="00286AE3">
            <w:pPr>
              <w:pStyle w:val="TableCopy"/>
              <w:rPr>
                <w:lang w:val="en-GB"/>
              </w:rPr>
            </w:pPr>
            <w:r w:rsidRPr="004A7EDA">
              <w:rPr>
                <w:lang w:val="en-GB"/>
              </w:rPr>
              <w:t>93</w:t>
            </w:r>
          </w:p>
        </w:tc>
        <w:tc>
          <w:tcPr>
            <w:tcW w:w="964" w:type="dxa"/>
            <w:shd w:val="clear" w:color="auto" w:fill="auto"/>
            <w:tcMar>
              <w:top w:w="113" w:type="dxa"/>
              <w:left w:w="28" w:type="dxa"/>
              <w:bottom w:w="113" w:type="dxa"/>
              <w:right w:w="28" w:type="dxa"/>
            </w:tcMar>
          </w:tcPr>
          <w:p w14:paraId="59877716" w14:textId="77777777" w:rsidR="004A7EDA" w:rsidRPr="004A7EDA" w:rsidRDefault="004A7EDA" w:rsidP="00286AE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3CF07D87" w14:textId="77777777" w:rsidR="004A7EDA" w:rsidRPr="004A7EDA" w:rsidRDefault="004A7EDA" w:rsidP="00286AE3">
            <w:pPr>
              <w:pStyle w:val="TableCopy"/>
              <w:rPr>
                <w:lang w:val="en-GB"/>
              </w:rPr>
            </w:pPr>
            <w:r w:rsidRPr="004A7EDA">
              <w:rPr>
                <w:lang w:val="en-GB"/>
              </w:rPr>
              <w:t>3.3%</w:t>
            </w:r>
          </w:p>
        </w:tc>
        <w:tc>
          <w:tcPr>
            <w:tcW w:w="964" w:type="dxa"/>
            <w:shd w:val="clear" w:color="auto" w:fill="auto"/>
            <w:tcMar>
              <w:top w:w="113" w:type="dxa"/>
              <w:left w:w="28" w:type="dxa"/>
              <w:bottom w:w="113" w:type="dxa"/>
              <w:right w:w="28" w:type="dxa"/>
            </w:tcMar>
          </w:tcPr>
          <w:p w14:paraId="710C8B84" w14:textId="0E965011" w:rsidR="004A7EDA" w:rsidRPr="004A7EDA" w:rsidRDefault="00120E9E" w:rsidP="00286AE3">
            <w:pPr>
              <w:pStyle w:val="TableCopy"/>
              <w:rPr>
                <w:lang w:val="en-GB"/>
              </w:rPr>
            </w:pPr>
            <w:r>
              <w:rPr>
                <w:lang w:val="en-GB"/>
              </w:rPr>
              <w:t>*</w:t>
            </w:r>
          </w:p>
        </w:tc>
      </w:tr>
      <w:tr w:rsidR="004A7EDA" w:rsidRPr="004A7EDA" w14:paraId="08064EF8" w14:textId="77777777" w:rsidTr="00773C3E">
        <w:trPr>
          <w:trHeight w:val="113"/>
        </w:trPr>
        <w:tc>
          <w:tcPr>
            <w:tcW w:w="4479" w:type="dxa"/>
            <w:shd w:val="clear" w:color="auto" w:fill="auto"/>
            <w:tcMar>
              <w:top w:w="113" w:type="dxa"/>
              <w:left w:w="28" w:type="dxa"/>
              <w:bottom w:w="113" w:type="dxa"/>
              <w:right w:w="28" w:type="dxa"/>
            </w:tcMar>
          </w:tcPr>
          <w:p w14:paraId="0D40856C" w14:textId="77777777" w:rsidR="004A7EDA" w:rsidRPr="004A7EDA" w:rsidRDefault="004A7EDA" w:rsidP="00286AE3">
            <w:pPr>
              <w:pStyle w:val="TableCopy"/>
              <w:rPr>
                <w:lang w:val="en-GB"/>
              </w:rPr>
            </w:pPr>
            <w:r w:rsidRPr="004A7EDA">
              <w:rPr>
                <w:lang w:val="en-GB"/>
              </w:rPr>
              <w:t>Visitors satisfied with visit: Australian Centre for the Moving Image</w:t>
            </w:r>
          </w:p>
        </w:tc>
        <w:tc>
          <w:tcPr>
            <w:tcW w:w="964" w:type="dxa"/>
            <w:shd w:val="clear" w:color="auto" w:fill="auto"/>
            <w:tcMar>
              <w:top w:w="113" w:type="dxa"/>
              <w:left w:w="28" w:type="dxa"/>
              <w:bottom w:w="113" w:type="dxa"/>
              <w:right w:w="28" w:type="dxa"/>
            </w:tcMar>
          </w:tcPr>
          <w:p w14:paraId="7F4B45EA"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05C61F5E" w14:textId="77777777" w:rsidR="004A7EDA" w:rsidRPr="004A7EDA" w:rsidRDefault="004A7EDA" w:rsidP="00286AE3">
            <w:pPr>
              <w:pStyle w:val="TableCopy"/>
              <w:rPr>
                <w:lang w:val="en-GB"/>
              </w:rPr>
            </w:pPr>
            <w:r w:rsidRPr="004A7EDA">
              <w:rPr>
                <w:lang w:val="en-GB"/>
              </w:rPr>
              <w:t>95</w:t>
            </w:r>
          </w:p>
        </w:tc>
        <w:tc>
          <w:tcPr>
            <w:tcW w:w="964" w:type="dxa"/>
            <w:shd w:val="clear" w:color="auto" w:fill="auto"/>
            <w:tcMar>
              <w:top w:w="113" w:type="dxa"/>
              <w:left w:w="28" w:type="dxa"/>
              <w:bottom w:w="113" w:type="dxa"/>
              <w:right w:w="28" w:type="dxa"/>
            </w:tcMar>
          </w:tcPr>
          <w:p w14:paraId="1CAE0848" w14:textId="77777777" w:rsidR="004A7EDA" w:rsidRPr="004A7EDA" w:rsidRDefault="004A7EDA" w:rsidP="00286AE3">
            <w:pPr>
              <w:pStyle w:val="TableCopy"/>
              <w:rPr>
                <w:lang w:val="en-GB"/>
              </w:rPr>
            </w:pPr>
            <w:r w:rsidRPr="004A7EDA">
              <w:rPr>
                <w:lang w:val="en-GB"/>
              </w:rPr>
              <w:t>95</w:t>
            </w:r>
          </w:p>
        </w:tc>
        <w:tc>
          <w:tcPr>
            <w:tcW w:w="1304" w:type="dxa"/>
            <w:shd w:val="clear" w:color="auto" w:fill="auto"/>
            <w:tcMar>
              <w:top w:w="113" w:type="dxa"/>
              <w:left w:w="28" w:type="dxa"/>
              <w:bottom w:w="113" w:type="dxa"/>
              <w:right w:w="28" w:type="dxa"/>
            </w:tcMar>
          </w:tcPr>
          <w:p w14:paraId="5B806F4C"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693A98D7" w14:textId="002BCF51" w:rsidR="004A7EDA" w:rsidRPr="004A7EDA" w:rsidRDefault="00120E9E" w:rsidP="00286AE3">
            <w:pPr>
              <w:pStyle w:val="TableCopy"/>
              <w:rPr>
                <w:lang w:val="en-GB"/>
              </w:rPr>
            </w:pPr>
            <w:r>
              <w:rPr>
                <w:lang w:val="en-GB"/>
              </w:rPr>
              <w:t>*</w:t>
            </w:r>
          </w:p>
        </w:tc>
      </w:tr>
      <w:tr w:rsidR="004A7EDA" w:rsidRPr="004A7EDA" w14:paraId="53602E1B" w14:textId="77777777" w:rsidTr="00773C3E">
        <w:trPr>
          <w:trHeight w:val="113"/>
        </w:trPr>
        <w:tc>
          <w:tcPr>
            <w:tcW w:w="4479" w:type="dxa"/>
            <w:shd w:val="clear" w:color="auto" w:fill="auto"/>
            <w:tcMar>
              <w:top w:w="113" w:type="dxa"/>
              <w:left w:w="28" w:type="dxa"/>
              <w:bottom w:w="113" w:type="dxa"/>
              <w:right w:w="28" w:type="dxa"/>
            </w:tcMar>
          </w:tcPr>
          <w:p w14:paraId="751031EB" w14:textId="77777777" w:rsidR="004A7EDA" w:rsidRPr="004A7EDA" w:rsidRDefault="004A7EDA" w:rsidP="00286AE3">
            <w:pPr>
              <w:pStyle w:val="TableCopy"/>
              <w:rPr>
                <w:lang w:val="en-GB"/>
              </w:rPr>
            </w:pPr>
            <w:r w:rsidRPr="004A7EDA">
              <w:rPr>
                <w:lang w:val="en-GB"/>
              </w:rPr>
              <w:t>Visitors satisfied with visit: Geelong Arts Centre</w:t>
            </w:r>
          </w:p>
        </w:tc>
        <w:tc>
          <w:tcPr>
            <w:tcW w:w="964" w:type="dxa"/>
            <w:shd w:val="clear" w:color="auto" w:fill="auto"/>
            <w:tcMar>
              <w:top w:w="113" w:type="dxa"/>
              <w:left w:w="28" w:type="dxa"/>
              <w:bottom w:w="113" w:type="dxa"/>
              <w:right w:w="28" w:type="dxa"/>
            </w:tcMar>
          </w:tcPr>
          <w:p w14:paraId="0957FC8F"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0F80BAEA" w14:textId="77777777" w:rsidR="004A7EDA" w:rsidRPr="004A7EDA" w:rsidRDefault="004A7EDA" w:rsidP="00286AE3">
            <w:pPr>
              <w:pStyle w:val="TableCopy"/>
              <w:rPr>
                <w:lang w:val="en-GB"/>
              </w:rPr>
            </w:pPr>
            <w:r w:rsidRPr="004A7EDA">
              <w:rPr>
                <w:lang w:val="en-GB"/>
              </w:rPr>
              <w:t>98</w:t>
            </w:r>
          </w:p>
        </w:tc>
        <w:tc>
          <w:tcPr>
            <w:tcW w:w="964" w:type="dxa"/>
            <w:shd w:val="clear" w:color="auto" w:fill="auto"/>
            <w:tcMar>
              <w:top w:w="113" w:type="dxa"/>
              <w:left w:w="28" w:type="dxa"/>
              <w:bottom w:w="113" w:type="dxa"/>
              <w:right w:w="28" w:type="dxa"/>
            </w:tcMar>
          </w:tcPr>
          <w:p w14:paraId="588F68FD" w14:textId="77777777" w:rsidR="004A7EDA" w:rsidRPr="004A7EDA" w:rsidRDefault="004A7EDA" w:rsidP="00286AE3">
            <w:pPr>
              <w:pStyle w:val="TableCopy"/>
              <w:rPr>
                <w:lang w:val="en-GB"/>
              </w:rPr>
            </w:pPr>
            <w:r w:rsidRPr="004A7EDA">
              <w:rPr>
                <w:lang w:val="en-GB"/>
              </w:rPr>
              <w:t>98</w:t>
            </w:r>
          </w:p>
        </w:tc>
        <w:tc>
          <w:tcPr>
            <w:tcW w:w="1304" w:type="dxa"/>
            <w:shd w:val="clear" w:color="auto" w:fill="auto"/>
            <w:tcMar>
              <w:top w:w="113" w:type="dxa"/>
              <w:left w:w="28" w:type="dxa"/>
              <w:bottom w:w="113" w:type="dxa"/>
              <w:right w:w="28" w:type="dxa"/>
            </w:tcMar>
          </w:tcPr>
          <w:p w14:paraId="10BBA4C7"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09AD2B3B" w14:textId="5DC0A4B0" w:rsidR="004A7EDA" w:rsidRPr="004A7EDA" w:rsidRDefault="00120E9E" w:rsidP="00286AE3">
            <w:pPr>
              <w:pStyle w:val="TableCopy"/>
              <w:rPr>
                <w:lang w:val="en-GB"/>
              </w:rPr>
            </w:pPr>
            <w:r>
              <w:rPr>
                <w:lang w:val="en-GB"/>
              </w:rPr>
              <w:t>*</w:t>
            </w:r>
          </w:p>
        </w:tc>
      </w:tr>
      <w:tr w:rsidR="004A7EDA" w:rsidRPr="004A7EDA" w14:paraId="0EB05837" w14:textId="77777777" w:rsidTr="00773C3E">
        <w:trPr>
          <w:trHeight w:val="113"/>
        </w:trPr>
        <w:tc>
          <w:tcPr>
            <w:tcW w:w="4479" w:type="dxa"/>
            <w:shd w:val="clear" w:color="auto" w:fill="auto"/>
            <w:tcMar>
              <w:top w:w="113" w:type="dxa"/>
              <w:left w:w="28" w:type="dxa"/>
              <w:bottom w:w="113" w:type="dxa"/>
              <w:right w:w="28" w:type="dxa"/>
            </w:tcMar>
          </w:tcPr>
          <w:p w14:paraId="2BD59A13" w14:textId="77777777" w:rsidR="004A7EDA" w:rsidRPr="004A7EDA" w:rsidRDefault="004A7EDA" w:rsidP="00286AE3">
            <w:pPr>
              <w:pStyle w:val="TableCopy"/>
              <w:rPr>
                <w:lang w:val="en-GB"/>
              </w:rPr>
            </w:pPr>
            <w:r w:rsidRPr="004A7EDA">
              <w:rPr>
                <w:lang w:val="en-GB"/>
              </w:rPr>
              <w:t>Visitors satisfied with visit: Melbourne Recital Centre</w:t>
            </w:r>
          </w:p>
        </w:tc>
        <w:tc>
          <w:tcPr>
            <w:tcW w:w="964" w:type="dxa"/>
            <w:shd w:val="clear" w:color="auto" w:fill="auto"/>
            <w:tcMar>
              <w:top w:w="113" w:type="dxa"/>
              <w:left w:w="28" w:type="dxa"/>
              <w:bottom w:w="113" w:type="dxa"/>
              <w:right w:w="28" w:type="dxa"/>
            </w:tcMar>
          </w:tcPr>
          <w:p w14:paraId="3C84A3B1"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4788A081" w14:textId="77777777" w:rsidR="004A7EDA" w:rsidRPr="004A7EDA" w:rsidRDefault="004A7EDA" w:rsidP="00286AE3">
            <w:pPr>
              <w:pStyle w:val="TableCopy"/>
              <w:rPr>
                <w:lang w:val="en-GB"/>
              </w:rPr>
            </w:pPr>
            <w:r w:rsidRPr="004A7EDA">
              <w:rPr>
                <w:lang w:val="en-GB"/>
              </w:rPr>
              <w:t>97</w:t>
            </w:r>
          </w:p>
        </w:tc>
        <w:tc>
          <w:tcPr>
            <w:tcW w:w="964" w:type="dxa"/>
            <w:shd w:val="clear" w:color="auto" w:fill="auto"/>
            <w:tcMar>
              <w:top w:w="113" w:type="dxa"/>
              <w:left w:w="28" w:type="dxa"/>
              <w:bottom w:w="113" w:type="dxa"/>
              <w:right w:w="28" w:type="dxa"/>
            </w:tcMar>
          </w:tcPr>
          <w:p w14:paraId="5F826195" w14:textId="77777777" w:rsidR="004A7EDA" w:rsidRPr="004A7EDA" w:rsidRDefault="004A7EDA" w:rsidP="00286AE3">
            <w:pPr>
              <w:pStyle w:val="TableCopy"/>
              <w:rPr>
                <w:lang w:val="en-GB"/>
              </w:rPr>
            </w:pPr>
            <w:r w:rsidRPr="004A7EDA">
              <w:rPr>
                <w:lang w:val="en-GB"/>
              </w:rPr>
              <w:t>95</w:t>
            </w:r>
          </w:p>
        </w:tc>
        <w:tc>
          <w:tcPr>
            <w:tcW w:w="1304" w:type="dxa"/>
            <w:shd w:val="clear" w:color="auto" w:fill="auto"/>
            <w:tcMar>
              <w:top w:w="113" w:type="dxa"/>
              <w:left w:w="28" w:type="dxa"/>
              <w:bottom w:w="113" w:type="dxa"/>
              <w:right w:w="28" w:type="dxa"/>
            </w:tcMar>
          </w:tcPr>
          <w:p w14:paraId="27E68079" w14:textId="77777777" w:rsidR="004A7EDA" w:rsidRPr="004A7EDA" w:rsidRDefault="004A7EDA" w:rsidP="00286AE3">
            <w:pPr>
              <w:pStyle w:val="TableCopy"/>
              <w:rPr>
                <w:lang w:val="en-GB"/>
              </w:rPr>
            </w:pPr>
            <w:r w:rsidRPr="004A7EDA">
              <w:rPr>
                <w:lang w:val="en-GB"/>
              </w:rPr>
              <w:t>2.1%</w:t>
            </w:r>
          </w:p>
        </w:tc>
        <w:tc>
          <w:tcPr>
            <w:tcW w:w="964" w:type="dxa"/>
            <w:shd w:val="clear" w:color="auto" w:fill="auto"/>
            <w:tcMar>
              <w:top w:w="113" w:type="dxa"/>
              <w:left w:w="28" w:type="dxa"/>
              <w:bottom w:w="113" w:type="dxa"/>
              <w:right w:w="28" w:type="dxa"/>
            </w:tcMar>
          </w:tcPr>
          <w:p w14:paraId="50DB78A6" w14:textId="6537B7EF" w:rsidR="004A7EDA" w:rsidRPr="004A7EDA" w:rsidRDefault="00120E9E" w:rsidP="00286AE3">
            <w:pPr>
              <w:pStyle w:val="TableCopy"/>
              <w:rPr>
                <w:lang w:val="en-GB"/>
              </w:rPr>
            </w:pPr>
            <w:r>
              <w:rPr>
                <w:lang w:val="en-GB"/>
              </w:rPr>
              <w:t>*</w:t>
            </w:r>
          </w:p>
        </w:tc>
      </w:tr>
      <w:tr w:rsidR="004A7EDA" w:rsidRPr="004A7EDA" w14:paraId="3A825C6A" w14:textId="77777777" w:rsidTr="00773C3E">
        <w:trPr>
          <w:trHeight w:val="113"/>
        </w:trPr>
        <w:tc>
          <w:tcPr>
            <w:tcW w:w="4479" w:type="dxa"/>
            <w:shd w:val="clear" w:color="auto" w:fill="auto"/>
            <w:tcMar>
              <w:top w:w="113" w:type="dxa"/>
              <w:left w:w="28" w:type="dxa"/>
              <w:bottom w:w="113" w:type="dxa"/>
              <w:right w:w="28" w:type="dxa"/>
            </w:tcMar>
          </w:tcPr>
          <w:p w14:paraId="1E34FCA4" w14:textId="77777777" w:rsidR="004A7EDA" w:rsidRPr="004A7EDA" w:rsidRDefault="004A7EDA" w:rsidP="00286AE3">
            <w:pPr>
              <w:pStyle w:val="TableCopy"/>
              <w:rPr>
                <w:lang w:val="en-GB"/>
              </w:rPr>
            </w:pPr>
            <w:r w:rsidRPr="004A7EDA">
              <w:rPr>
                <w:lang w:val="en-GB"/>
              </w:rPr>
              <w:t>Visitors satisfied with visit: Museums Victoria</w:t>
            </w:r>
          </w:p>
        </w:tc>
        <w:tc>
          <w:tcPr>
            <w:tcW w:w="964" w:type="dxa"/>
            <w:shd w:val="clear" w:color="auto" w:fill="auto"/>
            <w:tcMar>
              <w:top w:w="113" w:type="dxa"/>
              <w:left w:w="28" w:type="dxa"/>
              <w:bottom w:w="113" w:type="dxa"/>
              <w:right w:w="28" w:type="dxa"/>
            </w:tcMar>
          </w:tcPr>
          <w:p w14:paraId="71CCDE11"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5B701EBF" w14:textId="77777777" w:rsidR="004A7EDA" w:rsidRPr="004A7EDA" w:rsidRDefault="004A7EDA" w:rsidP="00286AE3">
            <w:pPr>
              <w:pStyle w:val="TableCopy"/>
              <w:rPr>
                <w:lang w:val="en-GB"/>
              </w:rPr>
            </w:pPr>
            <w:r w:rsidRPr="004A7EDA">
              <w:rPr>
                <w:lang w:val="en-GB"/>
              </w:rPr>
              <w:t>90</w:t>
            </w:r>
          </w:p>
        </w:tc>
        <w:tc>
          <w:tcPr>
            <w:tcW w:w="964" w:type="dxa"/>
            <w:shd w:val="clear" w:color="auto" w:fill="auto"/>
            <w:tcMar>
              <w:top w:w="113" w:type="dxa"/>
              <w:left w:w="28" w:type="dxa"/>
              <w:bottom w:w="113" w:type="dxa"/>
              <w:right w:w="28" w:type="dxa"/>
            </w:tcMar>
          </w:tcPr>
          <w:p w14:paraId="775866DE" w14:textId="77777777" w:rsidR="004A7EDA" w:rsidRPr="004A7EDA" w:rsidRDefault="004A7EDA" w:rsidP="00286AE3">
            <w:pPr>
              <w:pStyle w:val="TableCopy"/>
              <w:rPr>
                <w:lang w:val="en-GB"/>
              </w:rPr>
            </w:pPr>
            <w:r w:rsidRPr="004A7EDA">
              <w:rPr>
                <w:lang w:val="en-GB"/>
              </w:rPr>
              <w:t>95</w:t>
            </w:r>
          </w:p>
        </w:tc>
        <w:tc>
          <w:tcPr>
            <w:tcW w:w="1304" w:type="dxa"/>
            <w:shd w:val="clear" w:color="auto" w:fill="auto"/>
            <w:tcMar>
              <w:top w:w="113" w:type="dxa"/>
              <w:left w:w="28" w:type="dxa"/>
              <w:bottom w:w="113" w:type="dxa"/>
              <w:right w:w="28" w:type="dxa"/>
            </w:tcMar>
          </w:tcPr>
          <w:p w14:paraId="156F388E" w14:textId="77777777" w:rsidR="004A7EDA" w:rsidRPr="004A7EDA" w:rsidRDefault="004A7EDA" w:rsidP="00286AE3">
            <w:pPr>
              <w:pStyle w:val="TableCopy"/>
              <w:rPr>
                <w:lang w:val="en-GB"/>
              </w:rPr>
            </w:pPr>
            <w:r w:rsidRPr="004A7EDA">
              <w:rPr>
                <w:lang w:val="en-GB"/>
              </w:rPr>
              <w:t>-5.3%</w:t>
            </w:r>
          </w:p>
        </w:tc>
        <w:tc>
          <w:tcPr>
            <w:tcW w:w="964" w:type="dxa"/>
            <w:shd w:val="clear" w:color="auto" w:fill="auto"/>
            <w:tcMar>
              <w:top w:w="113" w:type="dxa"/>
              <w:left w:w="28" w:type="dxa"/>
              <w:bottom w:w="113" w:type="dxa"/>
              <w:right w:w="28" w:type="dxa"/>
            </w:tcMar>
          </w:tcPr>
          <w:p w14:paraId="66D95442" w14:textId="4348F858" w:rsidR="004A7EDA" w:rsidRPr="004A7EDA" w:rsidRDefault="00120E9E" w:rsidP="00286AE3">
            <w:pPr>
              <w:pStyle w:val="TableCopy"/>
              <w:rPr>
                <w:lang w:val="en-GB"/>
              </w:rPr>
            </w:pPr>
            <w:r>
              <w:rPr>
                <w:lang w:val="en-GB"/>
              </w:rPr>
              <w:t>#</w:t>
            </w:r>
          </w:p>
        </w:tc>
      </w:tr>
      <w:tr w:rsidR="004A7EDA" w:rsidRPr="004A7EDA" w14:paraId="0C455E29" w14:textId="77777777" w:rsidTr="00773C3E">
        <w:trPr>
          <w:trHeight w:val="113"/>
        </w:trPr>
        <w:tc>
          <w:tcPr>
            <w:tcW w:w="9638" w:type="dxa"/>
            <w:gridSpan w:val="6"/>
            <w:shd w:val="clear" w:color="auto" w:fill="auto"/>
            <w:tcMar>
              <w:top w:w="113" w:type="dxa"/>
              <w:left w:w="113" w:type="dxa"/>
              <w:bottom w:w="113" w:type="dxa"/>
              <w:right w:w="113" w:type="dxa"/>
            </w:tcMar>
          </w:tcPr>
          <w:p w14:paraId="362032B0" w14:textId="77777777" w:rsidR="004A7EDA" w:rsidRPr="004A7EDA" w:rsidRDefault="004A7EDA" w:rsidP="00286AE3">
            <w:pPr>
              <w:pStyle w:val="TableCopy"/>
            </w:pPr>
            <w:r w:rsidRPr="004A7EDA">
              <w:t>Lower result due to the impact of COVID-19, reflecting lower satisfaction levels with the removal of some hands-on exhibits and some capacity restrictions (</w:t>
            </w:r>
            <w:proofErr w:type="gramStart"/>
            <w:r w:rsidRPr="004A7EDA">
              <w:t>e.g.</w:t>
            </w:r>
            <w:proofErr w:type="gramEnd"/>
            <w:r w:rsidRPr="004A7EDA">
              <w:t xml:space="preserve"> Children’s Gallery).</w:t>
            </w:r>
          </w:p>
        </w:tc>
      </w:tr>
      <w:tr w:rsidR="004A7EDA" w:rsidRPr="004A7EDA" w14:paraId="0A541C80" w14:textId="77777777" w:rsidTr="00773C3E">
        <w:trPr>
          <w:trHeight w:val="113"/>
        </w:trPr>
        <w:tc>
          <w:tcPr>
            <w:tcW w:w="4479" w:type="dxa"/>
            <w:shd w:val="clear" w:color="auto" w:fill="auto"/>
            <w:tcMar>
              <w:top w:w="113" w:type="dxa"/>
              <w:left w:w="28" w:type="dxa"/>
              <w:bottom w:w="113" w:type="dxa"/>
              <w:right w:w="28" w:type="dxa"/>
            </w:tcMar>
          </w:tcPr>
          <w:p w14:paraId="5C3A04AA" w14:textId="77777777" w:rsidR="004A7EDA" w:rsidRPr="004A7EDA" w:rsidRDefault="004A7EDA" w:rsidP="00286AE3">
            <w:pPr>
              <w:pStyle w:val="TableCopy"/>
              <w:rPr>
                <w:lang w:val="en-GB"/>
              </w:rPr>
            </w:pPr>
            <w:r w:rsidRPr="004A7EDA">
              <w:rPr>
                <w:lang w:val="en-GB"/>
              </w:rPr>
              <w:t>Visitors satisfied with visit: National Gallery of Victoria</w:t>
            </w:r>
          </w:p>
        </w:tc>
        <w:tc>
          <w:tcPr>
            <w:tcW w:w="964" w:type="dxa"/>
            <w:shd w:val="clear" w:color="auto" w:fill="auto"/>
            <w:tcMar>
              <w:top w:w="113" w:type="dxa"/>
              <w:left w:w="28" w:type="dxa"/>
              <w:bottom w:w="113" w:type="dxa"/>
              <w:right w:w="28" w:type="dxa"/>
            </w:tcMar>
          </w:tcPr>
          <w:p w14:paraId="38D1C952"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63252747" w14:textId="77777777" w:rsidR="004A7EDA" w:rsidRPr="004A7EDA" w:rsidRDefault="004A7EDA" w:rsidP="00286AE3">
            <w:pPr>
              <w:pStyle w:val="TableCopy"/>
              <w:rPr>
                <w:lang w:val="en-GB"/>
              </w:rPr>
            </w:pPr>
            <w:r w:rsidRPr="004A7EDA">
              <w:rPr>
                <w:lang w:val="en-GB"/>
              </w:rPr>
              <w:t>95</w:t>
            </w:r>
          </w:p>
        </w:tc>
        <w:tc>
          <w:tcPr>
            <w:tcW w:w="964" w:type="dxa"/>
            <w:shd w:val="clear" w:color="auto" w:fill="auto"/>
            <w:tcMar>
              <w:top w:w="113" w:type="dxa"/>
              <w:left w:w="28" w:type="dxa"/>
              <w:bottom w:w="113" w:type="dxa"/>
              <w:right w:w="28" w:type="dxa"/>
            </w:tcMar>
          </w:tcPr>
          <w:p w14:paraId="2360BC7D" w14:textId="77777777" w:rsidR="004A7EDA" w:rsidRPr="004A7EDA" w:rsidRDefault="004A7EDA" w:rsidP="00286AE3">
            <w:pPr>
              <w:pStyle w:val="TableCopy"/>
              <w:rPr>
                <w:lang w:val="en-GB"/>
              </w:rPr>
            </w:pPr>
            <w:r w:rsidRPr="004A7EDA">
              <w:rPr>
                <w:lang w:val="en-GB"/>
              </w:rPr>
              <w:t>95</w:t>
            </w:r>
          </w:p>
        </w:tc>
        <w:tc>
          <w:tcPr>
            <w:tcW w:w="1304" w:type="dxa"/>
            <w:shd w:val="clear" w:color="auto" w:fill="auto"/>
            <w:tcMar>
              <w:top w:w="113" w:type="dxa"/>
              <w:left w:w="28" w:type="dxa"/>
              <w:bottom w:w="113" w:type="dxa"/>
              <w:right w:w="28" w:type="dxa"/>
            </w:tcMar>
          </w:tcPr>
          <w:p w14:paraId="512BDE40"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1AFA2B19" w14:textId="6ACF0DCE" w:rsidR="004A7EDA" w:rsidRPr="004A7EDA" w:rsidRDefault="00120E9E" w:rsidP="00286AE3">
            <w:pPr>
              <w:pStyle w:val="TableCopy"/>
              <w:rPr>
                <w:lang w:val="en-GB"/>
              </w:rPr>
            </w:pPr>
            <w:r>
              <w:rPr>
                <w:lang w:val="en-GB"/>
              </w:rPr>
              <w:t>*</w:t>
            </w:r>
          </w:p>
        </w:tc>
      </w:tr>
      <w:tr w:rsidR="004A7EDA" w:rsidRPr="004A7EDA" w14:paraId="21B15DE9" w14:textId="77777777" w:rsidTr="00773C3E">
        <w:trPr>
          <w:trHeight w:val="113"/>
        </w:trPr>
        <w:tc>
          <w:tcPr>
            <w:tcW w:w="4479" w:type="dxa"/>
            <w:shd w:val="clear" w:color="auto" w:fill="auto"/>
            <w:tcMar>
              <w:top w:w="113" w:type="dxa"/>
              <w:left w:w="28" w:type="dxa"/>
              <w:bottom w:w="113" w:type="dxa"/>
              <w:right w:w="28" w:type="dxa"/>
            </w:tcMar>
          </w:tcPr>
          <w:p w14:paraId="57D619BD" w14:textId="77777777" w:rsidR="004A7EDA" w:rsidRPr="004A7EDA" w:rsidRDefault="004A7EDA" w:rsidP="00286AE3">
            <w:pPr>
              <w:pStyle w:val="TableCopy"/>
              <w:rPr>
                <w:lang w:val="en-GB"/>
              </w:rPr>
            </w:pPr>
            <w:r w:rsidRPr="004A7EDA">
              <w:rPr>
                <w:lang w:val="en-GB"/>
              </w:rPr>
              <w:t>Visitors satisfied with visit: State Library Victoria</w:t>
            </w:r>
          </w:p>
        </w:tc>
        <w:tc>
          <w:tcPr>
            <w:tcW w:w="964" w:type="dxa"/>
            <w:shd w:val="clear" w:color="auto" w:fill="auto"/>
            <w:tcMar>
              <w:top w:w="113" w:type="dxa"/>
              <w:left w:w="28" w:type="dxa"/>
              <w:bottom w:w="113" w:type="dxa"/>
              <w:right w:w="28" w:type="dxa"/>
            </w:tcMar>
          </w:tcPr>
          <w:p w14:paraId="4BA64D30"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45EC08FF" w14:textId="77777777" w:rsidR="004A7EDA" w:rsidRPr="004A7EDA" w:rsidRDefault="004A7EDA" w:rsidP="00286AE3">
            <w:pPr>
              <w:pStyle w:val="TableCopy"/>
              <w:rPr>
                <w:lang w:val="en-GB"/>
              </w:rPr>
            </w:pPr>
            <w:r w:rsidRPr="004A7EDA">
              <w:rPr>
                <w:lang w:val="en-GB"/>
              </w:rPr>
              <w:t>96</w:t>
            </w:r>
          </w:p>
        </w:tc>
        <w:tc>
          <w:tcPr>
            <w:tcW w:w="964" w:type="dxa"/>
            <w:shd w:val="clear" w:color="auto" w:fill="auto"/>
            <w:tcMar>
              <w:top w:w="113" w:type="dxa"/>
              <w:left w:w="28" w:type="dxa"/>
              <w:bottom w:w="113" w:type="dxa"/>
              <w:right w:w="28" w:type="dxa"/>
            </w:tcMar>
          </w:tcPr>
          <w:p w14:paraId="0B220152" w14:textId="77777777" w:rsidR="004A7EDA" w:rsidRPr="004A7EDA" w:rsidRDefault="004A7EDA" w:rsidP="00286AE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329962BC" w14:textId="77777777" w:rsidR="004A7EDA" w:rsidRPr="004A7EDA" w:rsidRDefault="004A7EDA" w:rsidP="00286AE3">
            <w:pPr>
              <w:pStyle w:val="TableCopy"/>
              <w:rPr>
                <w:lang w:val="en-GB"/>
              </w:rPr>
            </w:pPr>
            <w:r w:rsidRPr="004A7EDA">
              <w:rPr>
                <w:lang w:val="en-GB"/>
              </w:rPr>
              <w:t>6.7%</w:t>
            </w:r>
          </w:p>
        </w:tc>
        <w:tc>
          <w:tcPr>
            <w:tcW w:w="964" w:type="dxa"/>
            <w:shd w:val="clear" w:color="auto" w:fill="auto"/>
            <w:tcMar>
              <w:top w:w="113" w:type="dxa"/>
              <w:left w:w="28" w:type="dxa"/>
              <w:bottom w:w="113" w:type="dxa"/>
              <w:right w:w="28" w:type="dxa"/>
            </w:tcMar>
          </w:tcPr>
          <w:p w14:paraId="416D85C3" w14:textId="32D0FD49" w:rsidR="004A7EDA" w:rsidRPr="004A7EDA" w:rsidRDefault="00120E9E" w:rsidP="00286AE3">
            <w:pPr>
              <w:pStyle w:val="TableCopy"/>
              <w:rPr>
                <w:lang w:val="en-GB"/>
              </w:rPr>
            </w:pPr>
            <w:r>
              <w:rPr>
                <w:lang w:val="en-GB"/>
              </w:rPr>
              <w:t>*</w:t>
            </w:r>
          </w:p>
        </w:tc>
      </w:tr>
      <w:tr w:rsidR="004A7EDA" w:rsidRPr="004A7EDA" w14:paraId="5A576CE9" w14:textId="77777777" w:rsidTr="00773C3E">
        <w:trPr>
          <w:trHeight w:val="113"/>
        </w:trPr>
        <w:tc>
          <w:tcPr>
            <w:tcW w:w="9638" w:type="dxa"/>
            <w:gridSpan w:val="6"/>
            <w:shd w:val="clear" w:color="auto" w:fill="auto"/>
            <w:tcMar>
              <w:top w:w="113" w:type="dxa"/>
              <w:left w:w="113" w:type="dxa"/>
              <w:bottom w:w="113" w:type="dxa"/>
              <w:right w:w="113" w:type="dxa"/>
            </w:tcMar>
          </w:tcPr>
          <w:p w14:paraId="2C6C85D8" w14:textId="77777777" w:rsidR="004A7EDA" w:rsidRPr="004A7EDA" w:rsidRDefault="004A7EDA" w:rsidP="00286AE3">
            <w:pPr>
              <w:pStyle w:val="TableCopy"/>
            </w:pPr>
            <w:r w:rsidRPr="004A7EDA">
              <w:t>Higher result due to an increase in satisfaction in key areas of cleanliness, staff approachability and staff availability.</w:t>
            </w:r>
          </w:p>
        </w:tc>
      </w:tr>
      <w:tr w:rsidR="004A7EDA" w:rsidRPr="004A7EDA" w14:paraId="1FA0EA58" w14:textId="77777777" w:rsidTr="00773C3E">
        <w:trPr>
          <w:trHeight w:val="113"/>
        </w:trPr>
        <w:tc>
          <w:tcPr>
            <w:tcW w:w="9638" w:type="dxa"/>
            <w:gridSpan w:val="6"/>
            <w:shd w:val="clear" w:color="auto" w:fill="auto"/>
            <w:tcMar>
              <w:top w:w="113" w:type="dxa"/>
              <w:left w:w="28" w:type="dxa"/>
              <w:bottom w:w="113" w:type="dxa"/>
              <w:right w:w="28" w:type="dxa"/>
            </w:tcMar>
          </w:tcPr>
          <w:p w14:paraId="66F9FE62" w14:textId="77777777" w:rsidR="004A7EDA" w:rsidRPr="004A7EDA" w:rsidRDefault="004A7EDA" w:rsidP="00286AE3">
            <w:pPr>
              <w:pStyle w:val="TableCopy"/>
              <w:rPr>
                <w:lang w:val="en-GB"/>
              </w:rPr>
            </w:pPr>
            <w:r w:rsidRPr="004A7EDA">
              <w:rPr>
                <w:lang w:val="en-GB"/>
              </w:rPr>
              <w:t>Cost</w:t>
            </w:r>
          </w:p>
        </w:tc>
      </w:tr>
      <w:tr w:rsidR="004A7EDA" w:rsidRPr="004A7EDA" w14:paraId="5357F665" w14:textId="77777777" w:rsidTr="00773C3E">
        <w:trPr>
          <w:trHeight w:val="113"/>
        </w:trPr>
        <w:tc>
          <w:tcPr>
            <w:tcW w:w="4479" w:type="dxa"/>
            <w:shd w:val="clear" w:color="auto" w:fill="auto"/>
            <w:tcMar>
              <w:top w:w="113" w:type="dxa"/>
              <w:left w:w="28" w:type="dxa"/>
              <w:bottom w:w="113" w:type="dxa"/>
              <w:right w:w="28" w:type="dxa"/>
            </w:tcMar>
          </w:tcPr>
          <w:p w14:paraId="7B4AE54B" w14:textId="77777777" w:rsidR="004A7EDA" w:rsidRPr="004A7EDA" w:rsidRDefault="004A7EDA" w:rsidP="00286AE3">
            <w:pPr>
              <w:pStyle w:val="TableCopy"/>
              <w:rPr>
                <w:lang w:val="en-GB"/>
              </w:rPr>
            </w:pPr>
            <w:r w:rsidRPr="004A7EDA">
              <w:rPr>
                <w:lang w:val="en-GB"/>
              </w:rPr>
              <w:t>Total output cost</w:t>
            </w:r>
          </w:p>
        </w:tc>
        <w:tc>
          <w:tcPr>
            <w:tcW w:w="964" w:type="dxa"/>
            <w:shd w:val="clear" w:color="auto" w:fill="auto"/>
            <w:tcMar>
              <w:top w:w="113" w:type="dxa"/>
              <w:left w:w="28" w:type="dxa"/>
              <w:bottom w:w="113" w:type="dxa"/>
              <w:right w:w="28" w:type="dxa"/>
            </w:tcMar>
          </w:tcPr>
          <w:p w14:paraId="034B5859" w14:textId="77777777" w:rsidR="004A7EDA" w:rsidRPr="004A7EDA" w:rsidRDefault="004A7EDA" w:rsidP="00286AE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7C890999" w14:textId="77777777" w:rsidR="004A7EDA" w:rsidRPr="004A7EDA" w:rsidRDefault="004A7EDA" w:rsidP="00286AE3">
            <w:pPr>
              <w:pStyle w:val="TableCopy"/>
              <w:rPr>
                <w:lang w:val="en-GB"/>
              </w:rPr>
            </w:pPr>
            <w:r w:rsidRPr="004A7EDA">
              <w:rPr>
                <w:lang w:val="en-GB"/>
              </w:rPr>
              <w:t>438.3</w:t>
            </w:r>
          </w:p>
        </w:tc>
        <w:tc>
          <w:tcPr>
            <w:tcW w:w="964" w:type="dxa"/>
            <w:shd w:val="clear" w:color="auto" w:fill="auto"/>
            <w:tcMar>
              <w:top w:w="113" w:type="dxa"/>
              <w:left w:w="28" w:type="dxa"/>
              <w:bottom w:w="113" w:type="dxa"/>
              <w:right w:w="28" w:type="dxa"/>
            </w:tcMar>
          </w:tcPr>
          <w:p w14:paraId="3042266D" w14:textId="77777777" w:rsidR="004A7EDA" w:rsidRPr="004A7EDA" w:rsidRDefault="004A7EDA" w:rsidP="00286AE3">
            <w:pPr>
              <w:pStyle w:val="TableCopy"/>
              <w:rPr>
                <w:lang w:val="en-GB"/>
              </w:rPr>
            </w:pPr>
            <w:r w:rsidRPr="004A7EDA">
              <w:rPr>
                <w:lang w:val="en-GB"/>
              </w:rPr>
              <w:t>463.2</w:t>
            </w:r>
          </w:p>
        </w:tc>
        <w:tc>
          <w:tcPr>
            <w:tcW w:w="1304" w:type="dxa"/>
            <w:shd w:val="clear" w:color="auto" w:fill="auto"/>
            <w:tcMar>
              <w:top w:w="113" w:type="dxa"/>
              <w:left w:w="28" w:type="dxa"/>
              <w:bottom w:w="113" w:type="dxa"/>
              <w:right w:w="28" w:type="dxa"/>
            </w:tcMar>
          </w:tcPr>
          <w:p w14:paraId="74C8E71B" w14:textId="77777777" w:rsidR="004A7EDA" w:rsidRPr="004A7EDA" w:rsidRDefault="004A7EDA" w:rsidP="00286AE3">
            <w:pPr>
              <w:pStyle w:val="TableCopy"/>
              <w:rPr>
                <w:lang w:val="en-GB"/>
              </w:rPr>
            </w:pPr>
            <w:r w:rsidRPr="004A7EDA">
              <w:rPr>
                <w:lang w:val="en-GB"/>
              </w:rPr>
              <w:t>-5.4%</w:t>
            </w:r>
          </w:p>
        </w:tc>
        <w:tc>
          <w:tcPr>
            <w:tcW w:w="964" w:type="dxa"/>
            <w:shd w:val="clear" w:color="auto" w:fill="auto"/>
            <w:tcMar>
              <w:top w:w="113" w:type="dxa"/>
              <w:left w:w="28" w:type="dxa"/>
              <w:bottom w:w="113" w:type="dxa"/>
              <w:right w:w="28" w:type="dxa"/>
            </w:tcMar>
          </w:tcPr>
          <w:p w14:paraId="5A56E9E6" w14:textId="1440E1DF" w:rsidR="004A7EDA" w:rsidRPr="004A7EDA" w:rsidRDefault="00120E9E" w:rsidP="00286AE3">
            <w:pPr>
              <w:pStyle w:val="TableCopy"/>
              <w:rPr>
                <w:lang w:val="en-GB"/>
              </w:rPr>
            </w:pPr>
            <w:r>
              <w:rPr>
                <w:lang w:val="en-GB"/>
              </w:rPr>
              <w:t>*</w:t>
            </w:r>
          </w:p>
        </w:tc>
      </w:tr>
      <w:tr w:rsidR="004A7EDA" w:rsidRPr="004A7EDA" w14:paraId="0528932E" w14:textId="77777777" w:rsidTr="00773C3E">
        <w:trPr>
          <w:trHeight w:val="113"/>
        </w:trPr>
        <w:tc>
          <w:tcPr>
            <w:tcW w:w="9638" w:type="dxa"/>
            <w:gridSpan w:val="6"/>
            <w:shd w:val="clear" w:color="auto" w:fill="auto"/>
            <w:tcMar>
              <w:top w:w="113" w:type="dxa"/>
              <w:left w:w="113" w:type="dxa"/>
              <w:bottom w:w="113" w:type="dxa"/>
              <w:right w:w="113" w:type="dxa"/>
            </w:tcMar>
          </w:tcPr>
          <w:p w14:paraId="7094525C" w14:textId="77777777" w:rsidR="004A7EDA" w:rsidRPr="004A7EDA" w:rsidRDefault="004A7EDA" w:rsidP="00286AE3">
            <w:pPr>
              <w:pStyle w:val="TableCopy"/>
            </w:pPr>
            <w:r w:rsidRPr="004A7EDA">
              <w:t>The 2020–21 result was lower than 2020–21 budget due to lower expenditure by the Creative Industries portfolio agencies, as a result</w:t>
            </w:r>
            <w:r w:rsidRPr="004A7EDA">
              <w:br/>
              <w:t>of closures due to the COVID-19 pandemic.</w:t>
            </w:r>
          </w:p>
        </w:tc>
      </w:tr>
    </w:tbl>
    <w:p w14:paraId="2AA9A667" w14:textId="4BE6FDDB" w:rsidR="004A7EDA" w:rsidRPr="004A7EDA" w:rsidRDefault="00286AE3" w:rsidP="004A7EDA">
      <w:pPr>
        <w:rPr>
          <w:lang w:val="en-GB"/>
        </w:rPr>
      </w:pPr>
      <w:r w:rsidRPr="004A7EDA">
        <w:t>Note:</w:t>
      </w:r>
      <w:r w:rsidRPr="004A7EDA">
        <w:t> </w:t>
      </w:r>
      <w:r w:rsidRPr="004A7EDA">
        <w:br/>
      </w:r>
      <w:r>
        <w:t>*</w:t>
      </w:r>
      <w:r w:rsidRPr="004A7EDA">
        <w:t xml:space="preserve"> Performance target achieved or exceeded</w:t>
      </w:r>
      <w:r w:rsidRPr="004A7EDA">
        <w:br/>
      </w:r>
      <w:r>
        <w:t>–</w:t>
      </w:r>
      <w:r w:rsidRPr="004A7EDA">
        <w:t xml:space="preserve"> Performance target not achieved – within 5 per cent variance</w:t>
      </w:r>
      <w:r w:rsidRPr="004A7EDA">
        <w:br/>
      </w:r>
      <w:r>
        <w:t>#</w:t>
      </w:r>
      <w:r w:rsidRPr="004A7EDA">
        <w:t xml:space="preserve"> Performance target not achieved – exceeds 5 per cent variance</w:t>
      </w:r>
    </w:p>
    <w:p w14:paraId="3D0A7434" w14:textId="2D77E040" w:rsidR="004A7EDA" w:rsidRPr="004A7EDA" w:rsidRDefault="004A7EDA" w:rsidP="004A7EDA">
      <w:pPr>
        <w:rPr>
          <w:lang w:val="en-GB"/>
        </w:rPr>
      </w:pPr>
      <w:r w:rsidRPr="004A7EDA">
        <w:rPr>
          <w:lang w:val="en-GB"/>
        </w:rPr>
        <w:t>Table 23 represents performance against the Cultural Infrastructure and Facilities output. This output supports Victorian cultural venues and state-owned facilities through strategic assessment and provision</w:t>
      </w:r>
      <w:r w:rsidRPr="004A7EDA">
        <w:rPr>
          <w:lang w:val="en-GB"/>
        </w:rPr>
        <w:br/>
        <w:t>of advice on portfolio infrastructure proposals and projects. The output includes consolidation of portfolio asset management plans and management of funding programs for maintenance and minor capital works.</w:t>
      </w:r>
    </w:p>
    <w:p w14:paraId="5518C282" w14:textId="77777777" w:rsidR="004A7EDA" w:rsidRPr="004A7EDA" w:rsidRDefault="004A7EDA" w:rsidP="00773C3E">
      <w:pPr>
        <w:pStyle w:val="Heading5"/>
        <w:rPr>
          <w:lang w:val="en-GB"/>
        </w:rPr>
      </w:pPr>
      <w:r w:rsidRPr="004A7EDA">
        <w:rPr>
          <w:lang w:val="en-GB"/>
        </w:rPr>
        <w:t>Table 23: Output – Cultural Infrastructure and Facilities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9"/>
        <w:gridCol w:w="964"/>
        <w:gridCol w:w="963"/>
        <w:gridCol w:w="964"/>
        <w:gridCol w:w="1304"/>
        <w:gridCol w:w="964"/>
      </w:tblGrid>
      <w:tr w:rsidR="004A7EDA" w:rsidRPr="004A7EDA" w14:paraId="770D1557" w14:textId="77777777" w:rsidTr="00773C3E">
        <w:trPr>
          <w:trHeight w:val="113"/>
          <w:tblHeader/>
        </w:trPr>
        <w:tc>
          <w:tcPr>
            <w:tcW w:w="4479" w:type="dxa"/>
            <w:shd w:val="clear" w:color="auto" w:fill="auto"/>
            <w:tcMar>
              <w:top w:w="113" w:type="dxa"/>
              <w:left w:w="28" w:type="dxa"/>
              <w:bottom w:w="113" w:type="dxa"/>
              <w:right w:w="28" w:type="dxa"/>
            </w:tcMar>
          </w:tcPr>
          <w:p w14:paraId="31EAEA57" w14:textId="77777777" w:rsidR="004A7EDA" w:rsidRPr="004A7EDA" w:rsidRDefault="004A7EDA" w:rsidP="00286AE3">
            <w:pPr>
              <w:pStyle w:val="TableHeading"/>
              <w:rPr>
                <w:lang w:val="en-GB"/>
              </w:rPr>
            </w:pPr>
            <w:r w:rsidRPr="004A7EDA">
              <w:rPr>
                <w:lang w:val="en-GB"/>
              </w:rPr>
              <w:t>Performance measures</w:t>
            </w:r>
          </w:p>
        </w:tc>
        <w:tc>
          <w:tcPr>
            <w:tcW w:w="964" w:type="dxa"/>
            <w:shd w:val="clear" w:color="auto" w:fill="auto"/>
            <w:tcMar>
              <w:top w:w="113" w:type="dxa"/>
              <w:left w:w="28" w:type="dxa"/>
              <w:bottom w:w="113" w:type="dxa"/>
              <w:right w:w="28" w:type="dxa"/>
            </w:tcMar>
          </w:tcPr>
          <w:p w14:paraId="1C2CE1C7" w14:textId="77777777" w:rsidR="004A7EDA" w:rsidRPr="004A7EDA" w:rsidRDefault="004A7EDA" w:rsidP="00286AE3">
            <w:pPr>
              <w:pStyle w:val="TableHeading"/>
              <w:rPr>
                <w:lang w:val="en-GB"/>
              </w:rPr>
            </w:pPr>
            <w:r w:rsidRPr="004A7EDA">
              <w:rPr>
                <w:lang w:val="en-GB"/>
              </w:rPr>
              <w:t>Unit of measure</w:t>
            </w:r>
          </w:p>
        </w:tc>
        <w:tc>
          <w:tcPr>
            <w:tcW w:w="963" w:type="dxa"/>
            <w:shd w:val="clear" w:color="auto" w:fill="auto"/>
            <w:tcMar>
              <w:top w:w="113" w:type="dxa"/>
              <w:left w:w="28" w:type="dxa"/>
              <w:bottom w:w="113" w:type="dxa"/>
              <w:right w:w="28" w:type="dxa"/>
            </w:tcMar>
          </w:tcPr>
          <w:p w14:paraId="00DE3E6D" w14:textId="77777777" w:rsidR="004A7EDA" w:rsidRPr="004A7EDA" w:rsidRDefault="004A7EDA" w:rsidP="00286AE3">
            <w:pPr>
              <w:pStyle w:val="TableHeading"/>
              <w:rPr>
                <w:lang w:val="en-GB"/>
              </w:rPr>
            </w:pPr>
            <w:r w:rsidRPr="004A7EDA">
              <w:rPr>
                <w:lang w:val="en-GB"/>
              </w:rPr>
              <w:t>2020–21 actual</w:t>
            </w:r>
          </w:p>
        </w:tc>
        <w:tc>
          <w:tcPr>
            <w:tcW w:w="964" w:type="dxa"/>
            <w:shd w:val="clear" w:color="auto" w:fill="auto"/>
            <w:tcMar>
              <w:top w:w="113" w:type="dxa"/>
              <w:left w:w="28" w:type="dxa"/>
              <w:bottom w:w="113" w:type="dxa"/>
              <w:right w:w="28" w:type="dxa"/>
            </w:tcMar>
          </w:tcPr>
          <w:p w14:paraId="690D98BD" w14:textId="77777777" w:rsidR="004A7EDA" w:rsidRPr="004A7EDA" w:rsidRDefault="004A7EDA" w:rsidP="00286AE3">
            <w:pPr>
              <w:pStyle w:val="TableHeading"/>
              <w:rPr>
                <w:lang w:val="en-GB"/>
              </w:rPr>
            </w:pPr>
            <w:r w:rsidRPr="004A7EDA">
              <w:rPr>
                <w:lang w:val="en-GB"/>
              </w:rPr>
              <w:t>2020–21 target</w:t>
            </w:r>
          </w:p>
        </w:tc>
        <w:tc>
          <w:tcPr>
            <w:tcW w:w="1304" w:type="dxa"/>
            <w:shd w:val="clear" w:color="auto" w:fill="auto"/>
            <w:tcMar>
              <w:top w:w="113" w:type="dxa"/>
              <w:left w:w="28" w:type="dxa"/>
              <w:bottom w:w="113" w:type="dxa"/>
              <w:right w:w="28" w:type="dxa"/>
            </w:tcMar>
          </w:tcPr>
          <w:p w14:paraId="49A96CE4" w14:textId="77777777" w:rsidR="004A7EDA" w:rsidRPr="004A7EDA" w:rsidRDefault="004A7EDA" w:rsidP="00286AE3">
            <w:pPr>
              <w:pStyle w:val="TableHeading"/>
              <w:rPr>
                <w:lang w:val="en-GB"/>
              </w:rPr>
            </w:pPr>
            <w:r w:rsidRPr="004A7EDA">
              <w:rPr>
                <w:lang w:val="en-GB"/>
              </w:rPr>
              <w:t>Performance variation (%)</w:t>
            </w:r>
          </w:p>
        </w:tc>
        <w:tc>
          <w:tcPr>
            <w:tcW w:w="964" w:type="dxa"/>
            <w:shd w:val="clear" w:color="auto" w:fill="auto"/>
            <w:tcMar>
              <w:top w:w="113" w:type="dxa"/>
              <w:left w:w="28" w:type="dxa"/>
              <w:bottom w:w="113" w:type="dxa"/>
              <w:right w:w="28" w:type="dxa"/>
            </w:tcMar>
          </w:tcPr>
          <w:p w14:paraId="03C35128" w14:textId="77777777" w:rsidR="004A7EDA" w:rsidRPr="004A7EDA" w:rsidRDefault="004A7EDA" w:rsidP="00286AE3">
            <w:pPr>
              <w:pStyle w:val="TableHeading"/>
              <w:rPr>
                <w:lang w:val="en-GB"/>
              </w:rPr>
            </w:pPr>
            <w:r w:rsidRPr="004A7EDA">
              <w:rPr>
                <w:lang w:val="en-GB"/>
              </w:rPr>
              <w:t>Result</w:t>
            </w:r>
          </w:p>
        </w:tc>
      </w:tr>
      <w:tr w:rsidR="004A7EDA" w:rsidRPr="004A7EDA" w14:paraId="1A0903A0" w14:textId="77777777" w:rsidTr="00773C3E">
        <w:trPr>
          <w:trHeight w:val="113"/>
        </w:trPr>
        <w:tc>
          <w:tcPr>
            <w:tcW w:w="9638" w:type="dxa"/>
            <w:gridSpan w:val="6"/>
            <w:shd w:val="clear" w:color="auto" w:fill="auto"/>
            <w:tcMar>
              <w:top w:w="113" w:type="dxa"/>
              <w:left w:w="28" w:type="dxa"/>
              <w:bottom w:w="113" w:type="dxa"/>
              <w:right w:w="28" w:type="dxa"/>
            </w:tcMar>
          </w:tcPr>
          <w:p w14:paraId="4BF89215" w14:textId="77777777" w:rsidR="004A7EDA" w:rsidRPr="004A7EDA" w:rsidRDefault="004A7EDA" w:rsidP="00286AE3">
            <w:pPr>
              <w:pStyle w:val="TableCopy"/>
              <w:rPr>
                <w:lang w:val="en-GB"/>
              </w:rPr>
            </w:pPr>
            <w:r w:rsidRPr="004A7EDA">
              <w:rPr>
                <w:lang w:val="en-GB"/>
              </w:rPr>
              <w:t>Quantity</w:t>
            </w:r>
          </w:p>
        </w:tc>
      </w:tr>
      <w:tr w:rsidR="004A7EDA" w:rsidRPr="004A7EDA" w14:paraId="5BD34C52" w14:textId="77777777" w:rsidTr="00773C3E">
        <w:trPr>
          <w:trHeight w:val="113"/>
        </w:trPr>
        <w:tc>
          <w:tcPr>
            <w:tcW w:w="4479" w:type="dxa"/>
            <w:shd w:val="clear" w:color="auto" w:fill="auto"/>
            <w:tcMar>
              <w:top w:w="113" w:type="dxa"/>
              <w:left w:w="28" w:type="dxa"/>
              <w:bottom w:w="113" w:type="dxa"/>
              <w:right w:w="28" w:type="dxa"/>
            </w:tcMar>
          </w:tcPr>
          <w:p w14:paraId="66DCDC5A" w14:textId="77777777" w:rsidR="004A7EDA" w:rsidRPr="004A7EDA" w:rsidRDefault="004A7EDA" w:rsidP="00286AE3">
            <w:pPr>
              <w:pStyle w:val="TableCopy"/>
              <w:rPr>
                <w:lang w:val="en-GB"/>
              </w:rPr>
            </w:pPr>
            <w:r w:rsidRPr="004A7EDA">
              <w:rPr>
                <w:lang w:val="en-GB"/>
              </w:rPr>
              <w:t>All facility safety audits conducted</w:t>
            </w:r>
          </w:p>
        </w:tc>
        <w:tc>
          <w:tcPr>
            <w:tcW w:w="964" w:type="dxa"/>
            <w:shd w:val="clear" w:color="auto" w:fill="auto"/>
            <w:tcMar>
              <w:top w:w="113" w:type="dxa"/>
              <w:left w:w="28" w:type="dxa"/>
              <w:bottom w:w="113" w:type="dxa"/>
              <w:right w:w="28" w:type="dxa"/>
            </w:tcMar>
          </w:tcPr>
          <w:p w14:paraId="41FE509F"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467BB21" w14:textId="77777777" w:rsidR="004A7EDA" w:rsidRPr="004A7EDA" w:rsidRDefault="004A7EDA" w:rsidP="00286AE3">
            <w:pPr>
              <w:pStyle w:val="TableCopy"/>
              <w:rPr>
                <w:lang w:val="en-GB"/>
              </w:rPr>
            </w:pPr>
            <w:r w:rsidRPr="004A7EDA">
              <w:rPr>
                <w:lang w:val="en-GB"/>
              </w:rPr>
              <w:t>16</w:t>
            </w:r>
          </w:p>
        </w:tc>
        <w:tc>
          <w:tcPr>
            <w:tcW w:w="964" w:type="dxa"/>
            <w:shd w:val="clear" w:color="auto" w:fill="auto"/>
            <w:tcMar>
              <w:top w:w="113" w:type="dxa"/>
              <w:left w:w="28" w:type="dxa"/>
              <w:bottom w:w="113" w:type="dxa"/>
              <w:right w:w="28" w:type="dxa"/>
            </w:tcMar>
          </w:tcPr>
          <w:p w14:paraId="2A82B2E3" w14:textId="77777777" w:rsidR="004A7EDA" w:rsidRPr="004A7EDA" w:rsidRDefault="004A7EDA" w:rsidP="00286AE3">
            <w:pPr>
              <w:pStyle w:val="TableCopy"/>
              <w:rPr>
                <w:lang w:val="en-GB"/>
              </w:rPr>
            </w:pPr>
            <w:r w:rsidRPr="004A7EDA">
              <w:rPr>
                <w:lang w:val="en-GB"/>
              </w:rPr>
              <w:t>16</w:t>
            </w:r>
          </w:p>
        </w:tc>
        <w:tc>
          <w:tcPr>
            <w:tcW w:w="1304" w:type="dxa"/>
            <w:shd w:val="clear" w:color="auto" w:fill="auto"/>
            <w:tcMar>
              <w:top w:w="113" w:type="dxa"/>
              <w:left w:w="28" w:type="dxa"/>
              <w:bottom w:w="113" w:type="dxa"/>
              <w:right w:w="28" w:type="dxa"/>
            </w:tcMar>
          </w:tcPr>
          <w:p w14:paraId="73157665"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196BE8EB" w14:textId="42608071" w:rsidR="004A7EDA" w:rsidRPr="004A7EDA" w:rsidRDefault="0099262A" w:rsidP="00286AE3">
            <w:pPr>
              <w:pStyle w:val="TableCopy"/>
              <w:rPr>
                <w:lang w:val="en-GB"/>
              </w:rPr>
            </w:pPr>
            <w:r>
              <w:rPr>
                <w:lang w:val="en-GB"/>
              </w:rPr>
              <w:t>*</w:t>
            </w:r>
          </w:p>
        </w:tc>
      </w:tr>
      <w:tr w:rsidR="004A7EDA" w:rsidRPr="004A7EDA" w14:paraId="6D4BB9CD" w14:textId="77777777" w:rsidTr="00773C3E">
        <w:trPr>
          <w:trHeight w:val="113"/>
        </w:trPr>
        <w:tc>
          <w:tcPr>
            <w:tcW w:w="4479" w:type="dxa"/>
            <w:shd w:val="clear" w:color="auto" w:fill="auto"/>
            <w:tcMar>
              <w:top w:w="113" w:type="dxa"/>
              <w:left w:w="28" w:type="dxa"/>
              <w:bottom w:w="113" w:type="dxa"/>
              <w:right w:w="28" w:type="dxa"/>
            </w:tcMar>
          </w:tcPr>
          <w:p w14:paraId="5423D488" w14:textId="77777777" w:rsidR="004A7EDA" w:rsidRPr="004A7EDA" w:rsidRDefault="004A7EDA" w:rsidP="00286AE3">
            <w:pPr>
              <w:pStyle w:val="TableCopy"/>
              <w:rPr>
                <w:lang w:val="en-GB"/>
              </w:rPr>
            </w:pPr>
            <w:r w:rsidRPr="004A7EDA">
              <w:rPr>
                <w:lang w:val="en-GB"/>
              </w:rPr>
              <w:t>Infrastructure development projects underway</w:t>
            </w:r>
          </w:p>
        </w:tc>
        <w:tc>
          <w:tcPr>
            <w:tcW w:w="964" w:type="dxa"/>
            <w:shd w:val="clear" w:color="auto" w:fill="auto"/>
            <w:tcMar>
              <w:top w:w="113" w:type="dxa"/>
              <w:left w:w="28" w:type="dxa"/>
              <w:bottom w:w="113" w:type="dxa"/>
              <w:right w:w="28" w:type="dxa"/>
            </w:tcMar>
          </w:tcPr>
          <w:p w14:paraId="7D9D5113"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173C46C8" w14:textId="77777777" w:rsidR="004A7EDA" w:rsidRPr="004A7EDA" w:rsidRDefault="004A7EDA" w:rsidP="00286AE3">
            <w:pPr>
              <w:pStyle w:val="TableCopy"/>
              <w:rPr>
                <w:lang w:val="en-GB"/>
              </w:rPr>
            </w:pPr>
            <w:r w:rsidRPr="004A7EDA">
              <w:rPr>
                <w:lang w:val="en-GB"/>
              </w:rPr>
              <w:t>8</w:t>
            </w:r>
          </w:p>
        </w:tc>
        <w:tc>
          <w:tcPr>
            <w:tcW w:w="964" w:type="dxa"/>
            <w:shd w:val="clear" w:color="auto" w:fill="auto"/>
            <w:tcMar>
              <w:top w:w="113" w:type="dxa"/>
              <w:left w:w="28" w:type="dxa"/>
              <w:bottom w:w="113" w:type="dxa"/>
              <w:right w:w="28" w:type="dxa"/>
            </w:tcMar>
          </w:tcPr>
          <w:p w14:paraId="7E742A50" w14:textId="77777777" w:rsidR="004A7EDA" w:rsidRPr="004A7EDA" w:rsidRDefault="004A7EDA" w:rsidP="00286AE3">
            <w:pPr>
              <w:pStyle w:val="TableCopy"/>
              <w:rPr>
                <w:lang w:val="en-GB"/>
              </w:rPr>
            </w:pPr>
            <w:r w:rsidRPr="004A7EDA">
              <w:rPr>
                <w:lang w:val="en-GB"/>
              </w:rPr>
              <w:t>8</w:t>
            </w:r>
          </w:p>
        </w:tc>
        <w:tc>
          <w:tcPr>
            <w:tcW w:w="1304" w:type="dxa"/>
            <w:shd w:val="clear" w:color="auto" w:fill="auto"/>
            <w:tcMar>
              <w:top w:w="113" w:type="dxa"/>
              <w:left w:w="28" w:type="dxa"/>
              <w:bottom w:w="113" w:type="dxa"/>
              <w:right w:w="28" w:type="dxa"/>
            </w:tcMar>
          </w:tcPr>
          <w:p w14:paraId="49884017"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0B0F841B" w14:textId="6EE99378" w:rsidR="004A7EDA" w:rsidRPr="004A7EDA" w:rsidRDefault="0099262A" w:rsidP="00286AE3">
            <w:pPr>
              <w:pStyle w:val="TableCopy"/>
              <w:rPr>
                <w:lang w:val="en-GB"/>
              </w:rPr>
            </w:pPr>
            <w:r>
              <w:rPr>
                <w:lang w:val="en-GB"/>
              </w:rPr>
              <w:t>*</w:t>
            </w:r>
          </w:p>
        </w:tc>
      </w:tr>
      <w:tr w:rsidR="004A7EDA" w:rsidRPr="004A7EDA" w14:paraId="340632C1" w14:textId="77777777" w:rsidTr="00773C3E">
        <w:trPr>
          <w:trHeight w:val="113"/>
        </w:trPr>
        <w:tc>
          <w:tcPr>
            <w:tcW w:w="9638" w:type="dxa"/>
            <w:gridSpan w:val="6"/>
            <w:shd w:val="clear" w:color="auto" w:fill="auto"/>
            <w:tcMar>
              <w:top w:w="113" w:type="dxa"/>
              <w:left w:w="28" w:type="dxa"/>
              <w:bottom w:w="113" w:type="dxa"/>
              <w:right w:w="28" w:type="dxa"/>
            </w:tcMar>
          </w:tcPr>
          <w:p w14:paraId="0D23DDF2" w14:textId="77777777" w:rsidR="004A7EDA" w:rsidRPr="004A7EDA" w:rsidRDefault="004A7EDA" w:rsidP="00286AE3">
            <w:pPr>
              <w:pStyle w:val="TableCopy"/>
              <w:rPr>
                <w:lang w:val="en-GB"/>
              </w:rPr>
            </w:pPr>
            <w:r w:rsidRPr="004A7EDA">
              <w:rPr>
                <w:lang w:val="en-GB"/>
              </w:rPr>
              <w:t>Quality</w:t>
            </w:r>
          </w:p>
        </w:tc>
      </w:tr>
      <w:tr w:rsidR="004A7EDA" w:rsidRPr="004A7EDA" w14:paraId="6BCE38F9" w14:textId="77777777" w:rsidTr="00773C3E">
        <w:trPr>
          <w:trHeight w:val="113"/>
        </w:trPr>
        <w:tc>
          <w:tcPr>
            <w:tcW w:w="4479" w:type="dxa"/>
            <w:shd w:val="clear" w:color="auto" w:fill="auto"/>
            <w:tcMar>
              <w:top w:w="113" w:type="dxa"/>
              <w:left w:w="28" w:type="dxa"/>
              <w:bottom w:w="113" w:type="dxa"/>
              <w:right w:w="28" w:type="dxa"/>
            </w:tcMar>
          </w:tcPr>
          <w:p w14:paraId="6CD5E589" w14:textId="77777777" w:rsidR="004A7EDA" w:rsidRPr="004A7EDA" w:rsidRDefault="004A7EDA" w:rsidP="00286AE3">
            <w:pPr>
              <w:pStyle w:val="TableCopy"/>
              <w:rPr>
                <w:lang w:val="en-GB"/>
              </w:rPr>
            </w:pPr>
            <w:r w:rsidRPr="004A7EDA">
              <w:rPr>
                <w:lang w:val="en-GB"/>
              </w:rPr>
              <w:t>State-owned tenanted cultural facilities maintained</w:t>
            </w:r>
            <w:r w:rsidRPr="004A7EDA">
              <w:rPr>
                <w:lang w:val="en-GB"/>
              </w:rPr>
              <w:br/>
              <w:t>to agreed service standards</w:t>
            </w:r>
          </w:p>
        </w:tc>
        <w:tc>
          <w:tcPr>
            <w:tcW w:w="964" w:type="dxa"/>
            <w:shd w:val="clear" w:color="auto" w:fill="auto"/>
            <w:tcMar>
              <w:top w:w="113" w:type="dxa"/>
              <w:left w:w="28" w:type="dxa"/>
              <w:bottom w:w="113" w:type="dxa"/>
              <w:right w:w="28" w:type="dxa"/>
            </w:tcMar>
          </w:tcPr>
          <w:p w14:paraId="64D3A749"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26C598BA" w14:textId="77777777" w:rsidR="004A7EDA" w:rsidRPr="004A7EDA" w:rsidRDefault="004A7EDA" w:rsidP="00286AE3">
            <w:pPr>
              <w:pStyle w:val="TableCopy"/>
              <w:rPr>
                <w:lang w:val="en-GB"/>
              </w:rPr>
            </w:pPr>
            <w:r w:rsidRPr="004A7EDA">
              <w:rPr>
                <w:lang w:val="en-GB"/>
              </w:rPr>
              <w:t>100</w:t>
            </w:r>
          </w:p>
        </w:tc>
        <w:tc>
          <w:tcPr>
            <w:tcW w:w="964" w:type="dxa"/>
            <w:shd w:val="clear" w:color="auto" w:fill="auto"/>
            <w:tcMar>
              <w:top w:w="113" w:type="dxa"/>
              <w:left w:w="28" w:type="dxa"/>
              <w:bottom w:w="113" w:type="dxa"/>
              <w:right w:w="28" w:type="dxa"/>
            </w:tcMar>
          </w:tcPr>
          <w:p w14:paraId="0580DF0E" w14:textId="77777777" w:rsidR="004A7EDA" w:rsidRPr="004A7EDA" w:rsidRDefault="004A7EDA" w:rsidP="00286AE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3BF9DA80" w14:textId="77777777" w:rsidR="004A7EDA" w:rsidRPr="004A7EDA" w:rsidRDefault="004A7EDA" w:rsidP="00286AE3">
            <w:pPr>
              <w:pStyle w:val="TableCopy"/>
              <w:rPr>
                <w:lang w:val="en-GB"/>
              </w:rPr>
            </w:pPr>
            <w:r w:rsidRPr="004A7EDA">
              <w:rPr>
                <w:lang w:val="en-GB"/>
              </w:rPr>
              <w:t>11.1%</w:t>
            </w:r>
          </w:p>
        </w:tc>
        <w:tc>
          <w:tcPr>
            <w:tcW w:w="964" w:type="dxa"/>
            <w:shd w:val="clear" w:color="auto" w:fill="auto"/>
            <w:tcMar>
              <w:top w:w="113" w:type="dxa"/>
              <w:left w:w="28" w:type="dxa"/>
              <w:bottom w:w="113" w:type="dxa"/>
              <w:right w:w="28" w:type="dxa"/>
            </w:tcMar>
          </w:tcPr>
          <w:p w14:paraId="7B404619" w14:textId="340EC3AB" w:rsidR="004A7EDA" w:rsidRPr="004A7EDA" w:rsidRDefault="0099262A" w:rsidP="00286AE3">
            <w:pPr>
              <w:pStyle w:val="TableCopy"/>
              <w:rPr>
                <w:lang w:val="en-GB"/>
              </w:rPr>
            </w:pPr>
            <w:r>
              <w:rPr>
                <w:lang w:val="en-GB"/>
              </w:rPr>
              <w:t>*</w:t>
            </w:r>
          </w:p>
        </w:tc>
      </w:tr>
      <w:tr w:rsidR="004A7EDA" w:rsidRPr="004A7EDA" w14:paraId="1B876715" w14:textId="77777777" w:rsidTr="00773C3E">
        <w:trPr>
          <w:trHeight w:val="113"/>
        </w:trPr>
        <w:tc>
          <w:tcPr>
            <w:tcW w:w="9638" w:type="dxa"/>
            <w:gridSpan w:val="6"/>
            <w:shd w:val="clear" w:color="auto" w:fill="auto"/>
            <w:tcMar>
              <w:top w:w="113" w:type="dxa"/>
              <w:left w:w="113" w:type="dxa"/>
              <w:bottom w:w="113" w:type="dxa"/>
              <w:right w:w="113" w:type="dxa"/>
            </w:tcMar>
          </w:tcPr>
          <w:p w14:paraId="616C8717" w14:textId="77777777" w:rsidR="004A7EDA" w:rsidRPr="004A7EDA" w:rsidRDefault="004A7EDA" w:rsidP="00286AE3">
            <w:pPr>
              <w:pStyle w:val="TableCopy"/>
            </w:pPr>
            <w:r w:rsidRPr="004A7EDA">
              <w:t xml:space="preserve">Higher result due to COVID-19 closures which reduced the need for routine maintenance activities that would normally result from </w:t>
            </w:r>
            <w:proofErr w:type="gramStart"/>
            <w:r w:rsidRPr="004A7EDA">
              <w:t>utilisation, and</w:t>
            </w:r>
            <w:proofErr w:type="gramEnd"/>
            <w:r w:rsidRPr="004A7EDA">
              <w:t xml:space="preserve"> enabled all necessary routine and periodic maintenance activities to occur.</w:t>
            </w:r>
          </w:p>
        </w:tc>
      </w:tr>
      <w:tr w:rsidR="004A7EDA" w:rsidRPr="004A7EDA" w14:paraId="23EDF635" w14:textId="77777777" w:rsidTr="00773C3E">
        <w:trPr>
          <w:trHeight w:val="113"/>
        </w:trPr>
        <w:tc>
          <w:tcPr>
            <w:tcW w:w="4479" w:type="dxa"/>
            <w:shd w:val="clear" w:color="auto" w:fill="auto"/>
            <w:tcMar>
              <w:top w:w="113" w:type="dxa"/>
              <w:left w:w="28" w:type="dxa"/>
              <w:bottom w:w="113" w:type="dxa"/>
              <w:right w:w="28" w:type="dxa"/>
            </w:tcMar>
          </w:tcPr>
          <w:p w14:paraId="348A4F6B" w14:textId="77777777" w:rsidR="004A7EDA" w:rsidRPr="004A7EDA" w:rsidRDefault="004A7EDA" w:rsidP="00286AE3">
            <w:pPr>
              <w:pStyle w:val="TableCopy"/>
              <w:rPr>
                <w:lang w:val="en-GB"/>
              </w:rPr>
            </w:pPr>
            <w:r w:rsidRPr="004A7EDA">
              <w:rPr>
                <w:lang w:val="en-GB"/>
              </w:rPr>
              <w:t>Success measures of projects achieved</w:t>
            </w:r>
          </w:p>
        </w:tc>
        <w:tc>
          <w:tcPr>
            <w:tcW w:w="964" w:type="dxa"/>
            <w:shd w:val="clear" w:color="auto" w:fill="auto"/>
            <w:tcMar>
              <w:top w:w="113" w:type="dxa"/>
              <w:left w:w="28" w:type="dxa"/>
              <w:bottom w:w="113" w:type="dxa"/>
              <w:right w:w="28" w:type="dxa"/>
            </w:tcMar>
          </w:tcPr>
          <w:p w14:paraId="39159DF4"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0D596A91" w14:textId="77777777" w:rsidR="004A7EDA" w:rsidRPr="004A7EDA" w:rsidRDefault="004A7EDA" w:rsidP="00286AE3">
            <w:pPr>
              <w:pStyle w:val="TableCopy"/>
              <w:rPr>
                <w:lang w:val="en-GB"/>
              </w:rPr>
            </w:pPr>
            <w:r w:rsidRPr="004A7EDA">
              <w:rPr>
                <w:lang w:val="en-GB"/>
              </w:rPr>
              <w:t>90</w:t>
            </w:r>
          </w:p>
        </w:tc>
        <w:tc>
          <w:tcPr>
            <w:tcW w:w="964" w:type="dxa"/>
            <w:shd w:val="clear" w:color="auto" w:fill="auto"/>
            <w:tcMar>
              <w:top w:w="113" w:type="dxa"/>
              <w:left w:w="28" w:type="dxa"/>
              <w:bottom w:w="113" w:type="dxa"/>
              <w:right w:w="28" w:type="dxa"/>
            </w:tcMar>
          </w:tcPr>
          <w:p w14:paraId="3A59F6BF" w14:textId="77777777" w:rsidR="004A7EDA" w:rsidRPr="004A7EDA" w:rsidRDefault="004A7EDA" w:rsidP="00286AE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285BCE76"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650C4CDF" w14:textId="21A80698" w:rsidR="004A7EDA" w:rsidRPr="004A7EDA" w:rsidRDefault="0099262A" w:rsidP="00286AE3">
            <w:pPr>
              <w:pStyle w:val="TableCopy"/>
              <w:rPr>
                <w:lang w:val="en-GB"/>
              </w:rPr>
            </w:pPr>
            <w:r>
              <w:rPr>
                <w:lang w:val="en-GB"/>
              </w:rPr>
              <w:t>*</w:t>
            </w:r>
          </w:p>
        </w:tc>
      </w:tr>
      <w:tr w:rsidR="004A7EDA" w:rsidRPr="004A7EDA" w14:paraId="73A4ECE0" w14:textId="77777777" w:rsidTr="00773C3E">
        <w:trPr>
          <w:trHeight w:val="113"/>
        </w:trPr>
        <w:tc>
          <w:tcPr>
            <w:tcW w:w="9638" w:type="dxa"/>
            <w:gridSpan w:val="6"/>
            <w:shd w:val="clear" w:color="auto" w:fill="auto"/>
            <w:tcMar>
              <w:top w:w="113" w:type="dxa"/>
              <w:left w:w="28" w:type="dxa"/>
              <w:bottom w:w="113" w:type="dxa"/>
              <w:right w:w="28" w:type="dxa"/>
            </w:tcMar>
          </w:tcPr>
          <w:p w14:paraId="7B0B1802" w14:textId="77777777" w:rsidR="004A7EDA" w:rsidRPr="004A7EDA" w:rsidRDefault="004A7EDA" w:rsidP="00286AE3">
            <w:pPr>
              <w:pStyle w:val="TableCopy"/>
              <w:rPr>
                <w:lang w:val="en-GB"/>
              </w:rPr>
            </w:pPr>
            <w:r w:rsidRPr="004A7EDA">
              <w:rPr>
                <w:lang w:val="en-GB"/>
              </w:rPr>
              <w:lastRenderedPageBreak/>
              <w:t>Timeliness</w:t>
            </w:r>
          </w:p>
        </w:tc>
      </w:tr>
      <w:tr w:rsidR="004A7EDA" w:rsidRPr="004A7EDA" w14:paraId="66303F96" w14:textId="77777777" w:rsidTr="00773C3E">
        <w:trPr>
          <w:trHeight w:val="113"/>
        </w:trPr>
        <w:tc>
          <w:tcPr>
            <w:tcW w:w="4479" w:type="dxa"/>
            <w:shd w:val="clear" w:color="auto" w:fill="auto"/>
            <w:tcMar>
              <w:top w:w="113" w:type="dxa"/>
              <w:left w:w="28" w:type="dxa"/>
              <w:bottom w:w="113" w:type="dxa"/>
              <w:right w:w="28" w:type="dxa"/>
            </w:tcMar>
          </w:tcPr>
          <w:p w14:paraId="192039CD" w14:textId="77777777" w:rsidR="004A7EDA" w:rsidRPr="004A7EDA" w:rsidRDefault="004A7EDA" w:rsidP="00286AE3">
            <w:pPr>
              <w:pStyle w:val="TableCopy"/>
              <w:rPr>
                <w:lang w:val="en-GB"/>
              </w:rPr>
            </w:pPr>
            <w:r w:rsidRPr="004A7EDA">
              <w:rPr>
                <w:lang w:val="en-GB"/>
              </w:rPr>
              <w:t>Cultural Facilities Maintenance Fund projects delivered within agreed timeframes</w:t>
            </w:r>
          </w:p>
        </w:tc>
        <w:tc>
          <w:tcPr>
            <w:tcW w:w="964" w:type="dxa"/>
            <w:shd w:val="clear" w:color="auto" w:fill="auto"/>
            <w:tcMar>
              <w:top w:w="113" w:type="dxa"/>
              <w:left w:w="28" w:type="dxa"/>
              <w:bottom w:w="113" w:type="dxa"/>
              <w:right w:w="28" w:type="dxa"/>
            </w:tcMar>
          </w:tcPr>
          <w:p w14:paraId="04561AA9"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764966CF" w14:textId="77777777" w:rsidR="004A7EDA" w:rsidRPr="004A7EDA" w:rsidRDefault="004A7EDA" w:rsidP="00286AE3">
            <w:pPr>
              <w:pStyle w:val="TableCopy"/>
              <w:rPr>
                <w:lang w:val="en-GB"/>
              </w:rPr>
            </w:pPr>
            <w:r w:rsidRPr="004A7EDA">
              <w:rPr>
                <w:lang w:val="en-GB"/>
              </w:rPr>
              <w:t>87</w:t>
            </w:r>
          </w:p>
        </w:tc>
        <w:tc>
          <w:tcPr>
            <w:tcW w:w="964" w:type="dxa"/>
            <w:shd w:val="clear" w:color="auto" w:fill="auto"/>
            <w:tcMar>
              <w:top w:w="113" w:type="dxa"/>
              <w:left w:w="28" w:type="dxa"/>
              <w:bottom w:w="113" w:type="dxa"/>
              <w:right w:w="28" w:type="dxa"/>
            </w:tcMar>
          </w:tcPr>
          <w:p w14:paraId="78FA13D9" w14:textId="77777777" w:rsidR="004A7EDA" w:rsidRPr="004A7EDA" w:rsidRDefault="004A7EDA" w:rsidP="00286AE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2CD86764" w14:textId="77777777" w:rsidR="004A7EDA" w:rsidRPr="004A7EDA" w:rsidRDefault="004A7EDA" w:rsidP="00286AE3">
            <w:pPr>
              <w:pStyle w:val="TableCopy"/>
              <w:rPr>
                <w:lang w:val="en-GB"/>
              </w:rPr>
            </w:pPr>
            <w:r w:rsidRPr="004A7EDA">
              <w:rPr>
                <w:lang w:val="en-GB"/>
              </w:rPr>
              <w:t>-3.3%</w:t>
            </w:r>
          </w:p>
        </w:tc>
        <w:tc>
          <w:tcPr>
            <w:tcW w:w="964" w:type="dxa"/>
            <w:shd w:val="clear" w:color="auto" w:fill="auto"/>
            <w:tcMar>
              <w:top w:w="113" w:type="dxa"/>
              <w:left w:w="28" w:type="dxa"/>
              <w:bottom w:w="113" w:type="dxa"/>
              <w:right w:w="28" w:type="dxa"/>
            </w:tcMar>
          </w:tcPr>
          <w:p w14:paraId="05032F0A" w14:textId="1BDACC35" w:rsidR="004A7EDA" w:rsidRPr="004A7EDA" w:rsidRDefault="0099262A" w:rsidP="00286AE3">
            <w:pPr>
              <w:pStyle w:val="TableCopy"/>
              <w:rPr>
                <w:lang w:val="en-GB"/>
              </w:rPr>
            </w:pPr>
            <w:r>
              <w:rPr>
                <w:lang w:val="en-GB"/>
              </w:rPr>
              <w:t>–</w:t>
            </w:r>
          </w:p>
        </w:tc>
      </w:tr>
      <w:tr w:rsidR="004A7EDA" w:rsidRPr="00773C3E" w14:paraId="16744860" w14:textId="77777777" w:rsidTr="00773C3E">
        <w:trPr>
          <w:trHeight w:val="113"/>
        </w:trPr>
        <w:tc>
          <w:tcPr>
            <w:tcW w:w="9638" w:type="dxa"/>
            <w:gridSpan w:val="6"/>
            <w:shd w:val="clear" w:color="auto" w:fill="auto"/>
            <w:tcMar>
              <w:top w:w="113" w:type="dxa"/>
              <w:left w:w="28" w:type="dxa"/>
              <w:bottom w:w="113" w:type="dxa"/>
              <w:right w:w="28" w:type="dxa"/>
            </w:tcMar>
          </w:tcPr>
          <w:p w14:paraId="64045D18" w14:textId="77777777" w:rsidR="004A7EDA" w:rsidRPr="00773C3E" w:rsidRDefault="004A7EDA" w:rsidP="00286AE3">
            <w:pPr>
              <w:pStyle w:val="TableCopy"/>
            </w:pPr>
            <w:r w:rsidRPr="00773C3E">
              <w:t>Cost</w:t>
            </w:r>
          </w:p>
        </w:tc>
      </w:tr>
      <w:tr w:rsidR="004A7EDA" w:rsidRPr="005A439F" w14:paraId="61D2B2FC" w14:textId="77777777" w:rsidTr="00773C3E">
        <w:trPr>
          <w:trHeight w:val="113"/>
        </w:trPr>
        <w:tc>
          <w:tcPr>
            <w:tcW w:w="4479" w:type="dxa"/>
            <w:shd w:val="clear" w:color="auto" w:fill="auto"/>
            <w:tcMar>
              <w:top w:w="113" w:type="dxa"/>
              <w:left w:w="28" w:type="dxa"/>
              <w:bottom w:w="113" w:type="dxa"/>
              <w:right w:w="28" w:type="dxa"/>
            </w:tcMar>
          </w:tcPr>
          <w:p w14:paraId="06093883" w14:textId="77777777" w:rsidR="004A7EDA" w:rsidRPr="005A439F" w:rsidRDefault="004A7EDA" w:rsidP="00286AE3">
            <w:pPr>
              <w:pStyle w:val="TableCopy"/>
            </w:pPr>
            <w:r w:rsidRPr="005A439F">
              <w:t>Total output cost</w:t>
            </w:r>
          </w:p>
        </w:tc>
        <w:tc>
          <w:tcPr>
            <w:tcW w:w="964" w:type="dxa"/>
            <w:shd w:val="clear" w:color="auto" w:fill="auto"/>
            <w:tcMar>
              <w:top w:w="113" w:type="dxa"/>
              <w:left w:w="28" w:type="dxa"/>
              <w:bottom w:w="113" w:type="dxa"/>
              <w:right w:w="28" w:type="dxa"/>
            </w:tcMar>
          </w:tcPr>
          <w:p w14:paraId="2AC99E75" w14:textId="77777777" w:rsidR="004A7EDA" w:rsidRPr="005A439F" w:rsidRDefault="004A7EDA" w:rsidP="00286AE3">
            <w:pPr>
              <w:pStyle w:val="TableCopy"/>
            </w:pPr>
            <w:r w:rsidRPr="005A439F">
              <w:t>$ million</w:t>
            </w:r>
          </w:p>
        </w:tc>
        <w:tc>
          <w:tcPr>
            <w:tcW w:w="963" w:type="dxa"/>
            <w:shd w:val="clear" w:color="auto" w:fill="auto"/>
            <w:tcMar>
              <w:top w:w="113" w:type="dxa"/>
              <w:left w:w="28" w:type="dxa"/>
              <w:bottom w:w="113" w:type="dxa"/>
              <w:right w:w="28" w:type="dxa"/>
            </w:tcMar>
          </w:tcPr>
          <w:p w14:paraId="13D0B012" w14:textId="77777777" w:rsidR="004A7EDA" w:rsidRPr="005A439F" w:rsidRDefault="004A7EDA" w:rsidP="00286AE3">
            <w:pPr>
              <w:pStyle w:val="TableCopy"/>
            </w:pPr>
            <w:r w:rsidRPr="005A439F">
              <w:t>123.8</w:t>
            </w:r>
          </w:p>
        </w:tc>
        <w:tc>
          <w:tcPr>
            <w:tcW w:w="964" w:type="dxa"/>
            <w:shd w:val="clear" w:color="auto" w:fill="auto"/>
            <w:tcMar>
              <w:top w:w="113" w:type="dxa"/>
              <w:left w:w="28" w:type="dxa"/>
              <w:bottom w:w="113" w:type="dxa"/>
              <w:right w:w="28" w:type="dxa"/>
            </w:tcMar>
          </w:tcPr>
          <w:p w14:paraId="47FF538B" w14:textId="77777777" w:rsidR="004A7EDA" w:rsidRPr="005A439F" w:rsidRDefault="004A7EDA" w:rsidP="00286AE3">
            <w:pPr>
              <w:pStyle w:val="TableCopy"/>
            </w:pPr>
            <w:r w:rsidRPr="005A439F">
              <w:t>139.1</w:t>
            </w:r>
          </w:p>
        </w:tc>
        <w:tc>
          <w:tcPr>
            <w:tcW w:w="1304" w:type="dxa"/>
            <w:shd w:val="clear" w:color="auto" w:fill="auto"/>
            <w:tcMar>
              <w:top w:w="113" w:type="dxa"/>
              <w:left w:w="28" w:type="dxa"/>
              <w:bottom w:w="113" w:type="dxa"/>
              <w:right w:w="28" w:type="dxa"/>
            </w:tcMar>
          </w:tcPr>
          <w:p w14:paraId="2934CD65" w14:textId="77777777" w:rsidR="004A7EDA" w:rsidRPr="005A439F" w:rsidRDefault="004A7EDA" w:rsidP="00286AE3">
            <w:pPr>
              <w:pStyle w:val="TableCopy"/>
            </w:pPr>
            <w:r w:rsidRPr="005A439F">
              <w:t>-11.0%</w:t>
            </w:r>
          </w:p>
        </w:tc>
        <w:tc>
          <w:tcPr>
            <w:tcW w:w="964" w:type="dxa"/>
            <w:shd w:val="clear" w:color="auto" w:fill="auto"/>
            <w:tcMar>
              <w:top w:w="113" w:type="dxa"/>
              <w:left w:w="28" w:type="dxa"/>
              <w:bottom w:w="113" w:type="dxa"/>
              <w:right w:w="28" w:type="dxa"/>
            </w:tcMar>
          </w:tcPr>
          <w:p w14:paraId="69B8639F" w14:textId="75867355" w:rsidR="004A7EDA" w:rsidRPr="005A439F" w:rsidRDefault="0099262A" w:rsidP="00286AE3">
            <w:pPr>
              <w:pStyle w:val="TableCopy"/>
            </w:pPr>
            <w:r w:rsidRPr="005A439F">
              <w:t>*</w:t>
            </w:r>
          </w:p>
        </w:tc>
      </w:tr>
      <w:tr w:rsidR="004A7EDA" w:rsidRPr="004A7EDA" w14:paraId="2D72E6CC" w14:textId="77777777" w:rsidTr="00773C3E">
        <w:trPr>
          <w:trHeight w:val="113"/>
        </w:trPr>
        <w:tc>
          <w:tcPr>
            <w:tcW w:w="9638" w:type="dxa"/>
            <w:gridSpan w:val="6"/>
            <w:shd w:val="clear" w:color="auto" w:fill="auto"/>
            <w:tcMar>
              <w:top w:w="113" w:type="dxa"/>
              <w:left w:w="113" w:type="dxa"/>
              <w:bottom w:w="113" w:type="dxa"/>
              <w:right w:w="113" w:type="dxa"/>
            </w:tcMar>
          </w:tcPr>
          <w:p w14:paraId="6B2960C9" w14:textId="77777777" w:rsidR="004A7EDA" w:rsidRPr="004A7EDA" w:rsidRDefault="004A7EDA" w:rsidP="00286AE3">
            <w:pPr>
              <w:pStyle w:val="TableCopy"/>
            </w:pPr>
            <w:r w:rsidRPr="004A7EDA">
              <w:t xml:space="preserve">The 2020–21 result was lower than 2020–21 budget mainly due to adjustment of the funding profile of initiatives within the output. </w:t>
            </w:r>
          </w:p>
        </w:tc>
      </w:tr>
    </w:tbl>
    <w:p w14:paraId="53E40780" w14:textId="60F258EF" w:rsidR="004A7EDA" w:rsidRPr="004A7EDA" w:rsidRDefault="00286AE3" w:rsidP="004A7EDA">
      <w:pPr>
        <w:rPr>
          <w:lang w:val="en-GB"/>
        </w:rPr>
      </w:pPr>
      <w:r w:rsidRPr="004A7EDA">
        <w:t>Note:</w:t>
      </w:r>
      <w:r w:rsidRPr="004A7EDA">
        <w:t> </w:t>
      </w:r>
      <w:r w:rsidRPr="004A7EDA">
        <w:br/>
      </w:r>
      <w:r>
        <w:t>*</w:t>
      </w:r>
      <w:r w:rsidRPr="004A7EDA">
        <w:t xml:space="preserve"> Performance target achieved or exceeded</w:t>
      </w:r>
      <w:r w:rsidRPr="004A7EDA">
        <w:br/>
      </w:r>
      <w:r>
        <w:t>–</w:t>
      </w:r>
      <w:r w:rsidRPr="004A7EDA">
        <w:t xml:space="preserve"> Performance target not achieved – within 5 per cent variance</w:t>
      </w:r>
      <w:r w:rsidRPr="004A7EDA">
        <w:br/>
      </w:r>
      <w:r>
        <w:t>#</w:t>
      </w:r>
      <w:r w:rsidRPr="004A7EDA">
        <w:t xml:space="preserve"> Performance target not achieved – exceeds 5 per cent variance</w:t>
      </w:r>
    </w:p>
    <w:p w14:paraId="2A65BCA5" w14:textId="77777777" w:rsidR="004A7EDA" w:rsidRPr="004A7EDA" w:rsidRDefault="004A7EDA" w:rsidP="004A7EDA">
      <w:pPr>
        <w:rPr>
          <w:lang w:val="en-GB"/>
        </w:rPr>
      </w:pPr>
      <w:r w:rsidRPr="004A7EDA">
        <w:rPr>
          <w:lang w:val="en-GB"/>
        </w:rPr>
        <w:t>Table 24 represents performance against the Sport, Recreation and Racing output. This output provides</w:t>
      </w:r>
      <w:r w:rsidRPr="004A7EDA">
        <w:rPr>
          <w:lang w:val="en-GB"/>
        </w:rPr>
        <w:br/>
        <w:t xml:space="preserve">strategic leadership and investment in the sport, </w:t>
      </w:r>
      <w:proofErr w:type="gramStart"/>
      <w:r w:rsidRPr="004A7EDA">
        <w:rPr>
          <w:lang w:val="en-GB"/>
        </w:rPr>
        <w:t>recreation</w:t>
      </w:r>
      <w:proofErr w:type="gramEnd"/>
      <w:r w:rsidRPr="004A7EDA">
        <w:rPr>
          <w:lang w:val="en-GB"/>
        </w:rPr>
        <w:t xml:space="preserve"> and racing industries through innovation,</w:t>
      </w:r>
      <w:r w:rsidRPr="004A7EDA">
        <w:rPr>
          <w:lang w:val="en-GB"/>
        </w:rPr>
        <w:br/>
        <w:t>sector and industry development and funding support. It supports community participation and inclusion</w:t>
      </w:r>
      <w:r w:rsidRPr="004A7EDA">
        <w:rPr>
          <w:lang w:val="en-GB"/>
        </w:rPr>
        <w:br/>
        <w:t xml:space="preserve">in the sport, </w:t>
      </w:r>
      <w:proofErr w:type="gramStart"/>
      <w:r w:rsidRPr="004A7EDA">
        <w:rPr>
          <w:lang w:val="en-GB"/>
        </w:rPr>
        <w:t>recreation</w:t>
      </w:r>
      <w:proofErr w:type="gramEnd"/>
      <w:r w:rsidRPr="004A7EDA">
        <w:rPr>
          <w:lang w:val="en-GB"/>
        </w:rPr>
        <w:t xml:space="preserve"> and racing sectors by strengthening the capacity of sport and recreation</w:t>
      </w:r>
      <w:r w:rsidRPr="004A7EDA">
        <w:rPr>
          <w:lang w:val="en-GB"/>
        </w:rPr>
        <w:br/>
        <w:t>organisations to deliver participation opportunities, improving community sport and recreation facilities</w:t>
      </w:r>
      <w:r w:rsidRPr="004A7EDA">
        <w:rPr>
          <w:lang w:val="en-GB"/>
        </w:rPr>
        <w:br/>
        <w:t>across the state and guiding the development and management of state-level sporting facilities and</w:t>
      </w:r>
      <w:r w:rsidRPr="004A7EDA">
        <w:rPr>
          <w:lang w:val="en-GB"/>
        </w:rPr>
        <w:br/>
        <w:t>events, to encourage participation by all Victorians.</w:t>
      </w:r>
    </w:p>
    <w:p w14:paraId="1C02D571" w14:textId="77777777" w:rsidR="004A7EDA" w:rsidRPr="004A7EDA" w:rsidRDefault="004A7EDA" w:rsidP="004A7EDA">
      <w:pPr>
        <w:rPr>
          <w:lang w:val="en-GB"/>
        </w:rPr>
      </w:pPr>
      <w:r w:rsidRPr="004A7EDA">
        <w:rPr>
          <w:lang w:val="en-GB"/>
        </w:rPr>
        <w:t>This output also supports the development of the Victorian racing industry through strategic investment</w:t>
      </w:r>
      <w:r w:rsidRPr="004A7EDA">
        <w:rPr>
          <w:lang w:val="en-GB"/>
        </w:rPr>
        <w:br/>
        <w:t>in world class racing and training infrastructure, the promotion of animal welfare and integrity initiatives</w:t>
      </w:r>
      <w:r w:rsidRPr="004A7EDA">
        <w:rPr>
          <w:lang w:val="en-GB"/>
        </w:rPr>
        <w:br/>
        <w:t>and encourages participation and investment in the breeding industry to cement Victoria’s position as Australia’s premier racing state.</w:t>
      </w:r>
    </w:p>
    <w:p w14:paraId="33C31F2D" w14:textId="6F22AD4D" w:rsidR="004A7EDA" w:rsidRPr="004A7EDA" w:rsidRDefault="004A7EDA" w:rsidP="00773C3E">
      <w:pPr>
        <w:pStyle w:val="Heading5"/>
        <w:rPr>
          <w:lang w:val="en-GB"/>
        </w:rPr>
      </w:pPr>
      <w:r w:rsidRPr="004A7EDA">
        <w:rPr>
          <w:lang w:val="en-GB"/>
        </w:rPr>
        <w:t>Table 24: Output – Sport, Recreation and Racing</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9"/>
        <w:gridCol w:w="964"/>
        <w:gridCol w:w="963"/>
        <w:gridCol w:w="964"/>
        <w:gridCol w:w="1304"/>
        <w:gridCol w:w="964"/>
      </w:tblGrid>
      <w:tr w:rsidR="004A7EDA" w:rsidRPr="00286AE3" w14:paraId="5B1E611B" w14:textId="77777777" w:rsidTr="00773C3E">
        <w:trPr>
          <w:trHeight w:val="113"/>
          <w:tblHeader/>
        </w:trPr>
        <w:tc>
          <w:tcPr>
            <w:tcW w:w="4479" w:type="dxa"/>
            <w:shd w:val="clear" w:color="auto" w:fill="auto"/>
            <w:tcMar>
              <w:top w:w="113" w:type="dxa"/>
              <w:left w:w="28" w:type="dxa"/>
              <w:bottom w:w="113" w:type="dxa"/>
              <w:right w:w="28" w:type="dxa"/>
            </w:tcMar>
          </w:tcPr>
          <w:p w14:paraId="5F8FD3FE" w14:textId="77777777" w:rsidR="004A7EDA" w:rsidRPr="00286AE3" w:rsidRDefault="004A7EDA" w:rsidP="00286AE3">
            <w:pPr>
              <w:pStyle w:val="TableHeading"/>
            </w:pPr>
            <w:r w:rsidRPr="00286AE3">
              <w:t>Performance measures</w:t>
            </w:r>
          </w:p>
        </w:tc>
        <w:tc>
          <w:tcPr>
            <w:tcW w:w="964" w:type="dxa"/>
            <w:shd w:val="clear" w:color="auto" w:fill="auto"/>
            <w:tcMar>
              <w:top w:w="113" w:type="dxa"/>
              <w:left w:w="28" w:type="dxa"/>
              <w:bottom w:w="113" w:type="dxa"/>
              <w:right w:w="28" w:type="dxa"/>
            </w:tcMar>
          </w:tcPr>
          <w:p w14:paraId="2BC49E87" w14:textId="77777777" w:rsidR="004A7EDA" w:rsidRPr="00286AE3" w:rsidRDefault="004A7EDA" w:rsidP="00286AE3">
            <w:pPr>
              <w:pStyle w:val="TableHeading"/>
            </w:pPr>
            <w:r w:rsidRPr="00286AE3">
              <w:t>Unit of measure</w:t>
            </w:r>
          </w:p>
        </w:tc>
        <w:tc>
          <w:tcPr>
            <w:tcW w:w="963" w:type="dxa"/>
            <w:shd w:val="clear" w:color="auto" w:fill="auto"/>
            <w:tcMar>
              <w:top w:w="113" w:type="dxa"/>
              <w:left w:w="28" w:type="dxa"/>
              <w:bottom w:w="113" w:type="dxa"/>
              <w:right w:w="28" w:type="dxa"/>
            </w:tcMar>
          </w:tcPr>
          <w:p w14:paraId="3102600F" w14:textId="77777777" w:rsidR="004A7EDA" w:rsidRPr="00286AE3" w:rsidRDefault="004A7EDA" w:rsidP="00286AE3">
            <w:pPr>
              <w:pStyle w:val="TableHeading"/>
            </w:pPr>
            <w:r w:rsidRPr="00286AE3">
              <w:t>2020–21 actual</w:t>
            </w:r>
          </w:p>
        </w:tc>
        <w:tc>
          <w:tcPr>
            <w:tcW w:w="964" w:type="dxa"/>
            <w:shd w:val="clear" w:color="auto" w:fill="auto"/>
            <w:tcMar>
              <w:top w:w="113" w:type="dxa"/>
              <w:left w:w="28" w:type="dxa"/>
              <w:bottom w:w="113" w:type="dxa"/>
              <w:right w:w="28" w:type="dxa"/>
            </w:tcMar>
          </w:tcPr>
          <w:p w14:paraId="432BF012" w14:textId="77777777" w:rsidR="004A7EDA" w:rsidRPr="00286AE3" w:rsidRDefault="004A7EDA" w:rsidP="00286AE3">
            <w:pPr>
              <w:pStyle w:val="TableHeading"/>
            </w:pPr>
            <w:r w:rsidRPr="00286AE3">
              <w:t>2020–21 target</w:t>
            </w:r>
          </w:p>
        </w:tc>
        <w:tc>
          <w:tcPr>
            <w:tcW w:w="1304" w:type="dxa"/>
            <w:shd w:val="clear" w:color="auto" w:fill="auto"/>
            <w:tcMar>
              <w:top w:w="113" w:type="dxa"/>
              <w:left w:w="28" w:type="dxa"/>
              <w:bottom w:w="113" w:type="dxa"/>
              <w:right w:w="28" w:type="dxa"/>
            </w:tcMar>
          </w:tcPr>
          <w:p w14:paraId="07A5CD77" w14:textId="77777777" w:rsidR="004A7EDA" w:rsidRPr="00286AE3" w:rsidRDefault="004A7EDA" w:rsidP="00286AE3">
            <w:pPr>
              <w:pStyle w:val="TableHeading"/>
            </w:pPr>
            <w:r w:rsidRPr="00286AE3">
              <w:t>Performance variation (%)</w:t>
            </w:r>
          </w:p>
        </w:tc>
        <w:tc>
          <w:tcPr>
            <w:tcW w:w="964" w:type="dxa"/>
            <w:shd w:val="clear" w:color="auto" w:fill="auto"/>
            <w:tcMar>
              <w:top w:w="113" w:type="dxa"/>
              <w:left w:w="28" w:type="dxa"/>
              <w:bottom w:w="113" w:type="dxa"/>
              <w:right w:w="28" w:type="dxa"/>
            </w:tcMar>
          </w:tcPr>
          <w:p w14:paraId="7EC8096C" w14:textId="77777777" w:rsidR="004A7EDA" w:rsidRPr="00286AE3" w:rsidRDefault="004A7EDA" w:rsidP="00286AE3">
            <w:pPr>
              <w:pStyle w:val="TableHeading"/>
            </w:pPr>
            <w:r w:rsidRPr="00286AE3">
              <w:t>Result</w:t>
            </w:r>
          </w:p>
        </w:tc>
      </w:tr>
      <w:tr w:rsidR="004A7EDA" w:rsidRPr="004A7EDA" w14:paraId="4950D0E4" w14:textId="77777777" w:rsidTr="00773C3E">
        <w:trPr>
          <w:trHeight w:val="113"/>
        </w:trPr>
        <w:tc>
          <w:tcPr>
            <w:tcW w:w="9638" w:type="dxa"/>
            <w:gridSpan w:val="6"/>
            <w:shd w:val="clear" w:color="auto" w:fill="auto"/>
            <w:tcMar>
              <w:top w:w="113" w:type="dxa"/>
              <w:left w:w="28" w:type="dxa"/>
              <w:bottom w:w="113" w:type="dxa"/>
              <w:right w:w="28" w:type="dxa"/>
            </w:tcMar>
          </w:tcPr>
          <w:p w14:paraId="37801FCD" w14:textId="77777777" w:rsidR="004A7EDA" w:rsidRPr="004A7EDA" w:rsidRDefault="004A7EDA" w:rsidP="00286AE3">
            <w:pPr>
              <w:pStyle w:val="TableCopy"/>
              <w:rPr>
                <w:lang w:val="en-GB"/>
              </w:rPr>
            </w:pPr>
            <w:r w:rsidRPr="004A7EDA">
              <w:rPr>
                <w:lang w:val="en-GB"/>
              </w:rPr>
              <w:t>Quantity</w:t>
            </w:r>
          </w:p>
        </w:tc>
      </w:tr>
      <w:tr w:rsidR="004A7EDA" w:rsidRPr="004A7EDA" w14:paraId="7AC88281" w14:textId="77777777" w:rsidTr="00773C3E">
        <w:trPr>
          <w:trHeight w:val="113"/>
        </w:trPr>
        <w:tc>
          <w:tcPr>
            <w:tcW w:w="4479" w:type="dxa"/>
            <w:shd w:val="clear" w:color="auto" w:fill="auto"/>
            <w:tcMar>
              <w:top w:w="113" w:type="dxa"/>
              <w:left w:w="28" w:type="dxa"/>
              <w:bottom w:w="113" w:type="dxa"/>
              <w:right w:w="28" w:type="dxa"/>
            </w:tcMar>
          </w:tcPr>
          <w:p w14:paraId="3C6A975D" w14:textId="77777777" w:rsidR="004A7EDA" w:rsidRPr="004A7EDA" w:rsidRDefault="004A7EDA" w:rsidP="00286AE3">
            <w:pPr>
              <w:pStyle w:val="TableCopy"/>
              <w:rPr>
                <w:lang w:val="en-GB"/>
              </w:rPr>
            </w:pPr>
            <w:r w:rsidRPr="004A7EDA">
              <w:rPr>
                <w:lang w:val="en-GB"/>
              </w:rPr>
              <w:t>Combat sports licences, registrations</w:t>
            </w:r>
            <w:r w:rsidRPr="004A7EDA">
              <w:rPr>
                <w:lang w:val="en-GB"/>
              </w:rPr>
              <w:br/>
              <w:t>and permits issued</w:t>
            </w:r>
          </w:p>
        </w:tc>
        <w:tc>
          <w:tcPr>
            <w:tcW w:w="964" w:type="dxa"/>
            <w:shd w:val="clear" w:color="auto" w:fill="auto"/>
            <w:tcMar>
              <w:top w:w="113" w:type="dxa"/>
              <w:left w:w="28" w:type="dxa"/>
              <w:bottom w:w="113" w:type="dxa"/>
              <w:right w:w="28" w:type="dxa"/>
            </w:tcMar>
          </w:tcPr>
          <w:p w14:paraId="603DB123"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39C16A33" w14:textId="77777777" w:rsidR="004A7EDA" w:rsidRPr="004A7EDA" w:rsidRDefault="004A7EDA" w:rsidP="00286AE3">
            <w:pPr>
              <w:pStyle w:val="TableCopy"/>
              <w:rPr>
                <w:lang w:val="en-GB"/>
              </w:rPr>
            </w:pPr>
            <w:r w:rsidRPr="004A7EDA">
              <w:rPr>
                <w:lang w:val="en-GB"/>
              </w:rPr>
              <w:t>323</w:t>
            </w:r>
          </w:p>
        </w:tc>
        <w:tc>
          <w:tcPr>
            <w:tcW w:w="964" w:type="dxa"/>
            <w:shd w:val="clear" w:color="auto" w:fill="auto"/>
            <w:tcMar>
              <w:top w:w="113" w:type="dxa"/>
              <w:left w:w="28" w:type="dxa"/>
              <w:bottom w:w="113" w:type="dxa"/>
              <w:right w:w="28" w:type="dxa"/>
            </w:tcMar>
          </w:tcPr>
          <w:p w14:paraId="4C14023D" w14:textId="77777777" w:rsidR="004A7EDA" w:rsidRPr="004A7EDA" w:rsidRDefault="004A7EDA" w:rsidP="00286AE3">
            <w:pPr>
              <w:pStyle w:val="TableCopy"/>
              <w:rPr>
                <w:lang w:val="en-GB"/>
              </w:rPr>
            </w:pPr>
            <w:r w:rsidRPr="004A7EDA">
              <w:rPr>
                <w:lang w:val="en-GB"/>
              </w:rPr>
              <w:t>550</w:t>
            </w:r>
          </w:p>
        </w:tc>
        <w:tc>
          <w:tcPr>
            <w:tcW w:w="1304" w:type="dxa"/>
            <w:shd w:val="clear" w:color="auto" w:fill="auto"/>
            <w:tcMar>
              <w:top w:w="113" w:type="dxa"/>
              <w:left w:w="28" w:type="dxa"/>
              <w:bottom w:w="113" w:type="dxa"/>
              <w:right w:w="28" w:type="dxa"/>
            </w:tcMar>
          </w:tcPr>
          <w:p w14:paraId="36A6C497" w14:textId="77777777" w:rsidR="004A7EDA" w:rsidRPr="004A7EDA" w:rsidRDefault="004A7EDA" w:rsidP="00286AE3">
            <w:pPr>
              <w:pStyle w:val="TableCopy"/>
              <w:rPr>
                <w:lang w:val="en-GB"/>
              </w:rPr>
            </w:pPr>
            <w:r w:rsidRPr="004A7EDA">
              <w:rPr>
                <w:lang w:val="en-GB"/>
              </w:rPr>
              <w:t>-41.3%</w:t>
            </w:r>
          </w:p>
        </w:tc>
        <w:tc>
          <w:tcPr>
            <w:tcW w:w="964" w:type="dxa"/>
            <w:shd w:val="clear" w:color="auto" w:fill="auto"/>
            <w:tcMar>
              <w:top w:w="113" w:type="dxa"/>
              <w:left w:w="28" w:type="dxa"/>
              <w:bottom w:w="113" w:type="dxa"/>
              <w:right w:w="28" w:type="dxa"/>
            </w:tcMar>
          </w:tcPr>
          <w:p w14:paraId="36D093F2" w14:textId="2E73BD6D" w:rsidR="004A7EDA" w:rsidRPr="004A7EDA" w:rsidRDefault="0099262A" w:rsidP="00286AE3">
            <w:pPr>
              <w:pStyle w:val="TableCopy"/>
              <w:rPr>
                <w:lang w:val="en-GB"/>
              </w:rPr>
            </w:pPr>
            <w:r>
              <w:rPr>
                <w:lang w:val="en-GB"/>
              </w:rPr>
              <w:t>#</w:t>
            </w:r>
          </w:p>
        </w:tc>
      </w:tr>
      <w:tr w:rsidR="004A7EDA" w:rsidRPr="004A7EDA" w14:paraId="2C05DCB1" w14:textId="77777777" w:rsidTr="00773C3E">
        <w:trPr>
          <w:trHeight w:val="113"/>
        </w:trPr>
        <w:tc>
          <w:tcPr>
            <w:tcW w:w="9638" w:type="dxa"/>
            <w:gridSpan w:val="6"/>
            <w:shd w:val="clear" w:color="auto" w:fill="auto"/>
            <w:tcMar>
              <w:top w:w="113" w:type="dxa"/>
              <w:left w:w="113" w:type="dxa"/>
              <w:bottom w:w="113" w:type="dxa"/>
              <w:right w:w="113" w:type="dxa"/>
            </w:tcMar>
          </w:tcPr>
          <w:p w14:paraId="794375A9" w14:textId="77777777" w:rsidR="004A7EDA" w:rsidRPr="004A7EDA" w:rsidRDefault="004A7EDA" w:rsidP="00286AE3">
            <w:pPr>
              <w:pStyle w:val="TableCopy"/>
            </w:pPr>
            <w:r w:rsidRPr="004A7EDA">
              <w:t>Lower result due to the impact of COVID-19 and activity restrictions on sport and recreation resulting in a significant reduction in the amount of combat sports events that were able to be held, leading to a reduction in applications for licences, registrations and permits.</w:t>
            </w:r>
          </w:p>
        </w:tc>
      </w:tr>
      <w:tr w:rsidR="004A7EDA" w:rsidRPr="004A7EDA" w14:paraId="2008EB33" w14:textId="77777777" w:rsidTr="00773C3E">
        <w:trPr>
          <w:trHeight w:val="113"/>
        </w:trPr>
        <w:tc>
          <w:tcPr>
            <w:tcW w:w="4479" w:type="dxa"/>
            <w:shd w:val="clear" w:color="auto" w:fill="auto"/>
            <w:tcMar>
              <w:top w:w="113" w:type="dxa"/>
              <w:left w:w="28" w:type="dxa"/>
              <w:bottom w:w="113" w:type="dxa"/>
              <w:right w:w="28" w:type="dxa"/>
            </w:tcMar>
          </w:tcPr>
          <w:p w14:paraId="77F0355C" w14:textId="77777777" w:rsidR="004A7EDA" w:rsidRPr="004A7EDA" w:rsidRDefault="004A7EDA" w:rsidP="00286AE3">
            <w:pPr>
              <w:pStyle w:val="TableCopy"/>
              <w:rPr>
                <w:lang w:val="en-GB"/>
              </w:rPr>
            </w:pPr>
            <w:r w:rsidRPr="004A7EDA">
              <w:rPr>
                <w:lang w:val="en-GB"/>
              </w:rPr>
              <w:t>Community Facility Grants: number approved</w:t>
            </w:r>
          </w:p>
        </w:tc>
        <w:tc>
          <w:tcPr>
            <w:tcW w:w="964" w:type="dxa"/>
            <w:shd w:val="clear" w:color="auto" w:fill="auto"/>
            <w:tcMar>
              <w:top w:w="113" w:type="dxa"/>
              <w:left w:w="28" w:type="dxa"/>
              <w:bottom w:w="113" w:type="dxa"/>
              <w:right w:w="28" w:type="dxa"/>
            </w:tcMar>
          </w:tcPr>
          <w:p w14:paraId="553BFA10"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78F52A86" w14:textId="77777777" w:rsidR="004A7EDA" w:rsidRPr="004A7EDA" w:rsidRDefault="004A7EDA" w:rsidP="00286AE3">
            <w:pPr>
              <w:pStyle w:val="TableCopy"/>
              <w:rPr>
                <w:lang w:val="en-GB"/>
              </w:rPr>
            </w:pPr>
            <w:r w:rsidRPr="004A7EDA">
              <w:rPr>
                <w:lang w:val="en-GB"/>
              </w:rPr>
              <w:t>239</w:t>
            </w:r>
          </w:p>
        </w:tc>
        <w:tc>
          <w:tcPr>
            <w:tcW w:w="964" w:type="dxa"/>
            <w:shd w:val="clear" w:color="auto" w:fill="auto"/>
            <w:tcMar>
              <w:top w:w="113" w:type="dxa"/>
              <w:left w:w="28" w:type="dxa"/>
              <w:bottom w:w="113" w:type="dxa"/>
              <w:right w:w="28" w:type="dxa"/>
            </w:tcMar>
          </w:tcPr>
          <w:p w14:paraId="706D5A67" w14:textId="77777777" w:rsidR="004A7EDA" w:rsidRPr="004A7EDA" w:rsidRDefault="004A7EDA" w:rsidP="00286AE3">
            <w:pPr>
              <w:pStyle w:val="TableCopy"/>
              <w:rPr>
                <w:lang w:val="en-GB"/>
              </w:rPr>
            </w:pPr>
            <w:r w:rsidRPr="004A7EDA">
              <w:rPr>
                <w:lang w:val="en-GB"/>
              </w:rPr>
              <w:t>200</w:t>
            </w:r>
          </w:p>
        </w:tc>
        <w:tc>
          <w:tcPr>
            <w:tcW w:w="1304" w:type="dxa"/>
            <w:shd w:val="clear" w:color="auto" w:fill="auto"/>
            <w:tcMar>
              <w:top w:w="113" w:type="dxa"/>
              <w:left w:w="28" w:type="dxa"/>
              <w:bottom w:w="113" w:type="dxa"/>
              <w:right w:w="28" w:type="dxa"/>
            </w:tcMar>
          </w:tcPr>
          <w:p w14:paraId="2E3207D9" w14:textId="77777777" w:rsidR="004A7EDA" w:rsidRPr="004A7EDA" w:rsidRDefault="004A7EDA" w:rsidP="00286AE3">
            <w:pPr>
              <w:pStyle w:val="TableCopy"/>
              <w:rPr>
                <w:lang w:val="en-GB"/>
              </w:rPr>
            </w:pPr>
            <w:r w:rsidRPr="004A7EDA">
              <w:rPr>
                <w:lang w:val="en-GB"/>
              </w:rPr>
              <w:t>19.5%</w:t>
            </w:r>
          </w:p>
        </w:tc>
        <w:tc>
          <w:tcPr>
            <w:tcW w:w="964" w:type="dxa"/>
            <w:shd w:val="clear" w:color="auto" w:fill="auto"/>
            <w:tcMar>
              <w:top w:w="113" w:type="dxa"/>
              <w:left w:w="28" w:type="dxa"/>
              <w:bottom w:w="113" w:type="dxa"/>
              <w:right w:w="28" w:type="dxa"/>
            </w:tcMar>
          </w:tcPr>
          <w:p w14:paraId="5063CEFF" w14:textId="46354C34" w:rsidR="004A7EDA" w:rsidRPr="004A7EDA" w:rsidRDefault="0099262A" w:rsidP="00286AE3">
            <w:pPr>
              <w:pStyle w:val="TableCopy"/>
              <w:rPr>
                <w:lang w:val="en-GB"/>
              </w:rPr>
            </w:pPr>
            <w:r>
              <w:rPr>
                <w:lang w:val="en-GB"/>
              </w:rPr>
              <w:t>*</w:t>
            </w:r>
          </w:p>
        </w:tc>
      </w:tr>
      <w:tr w:rsidR="004A7EDA" w:rsidRPr="004A7EDA" w14:paraId="0953A3C7" w14:textId="77777777" w:rsidTr="00773C3E">
        <w:trPr>
          <w:trHeight w:val="113"/>
        </w:trPr>
        <w:tc>
          <w:tcPr>
            <w:tcW w:w="9638" w:type="dxa"/>
            <w:gridSpan w:val="6"/>
            <w:shd w:val="clear" w:color="auto" w:fill="auto"/>
            <w:tcMar>
              <w:top w:w="113" w:type="dxa"/>
              <w:left w:w="113" w:type="dxa"/>
              <w:bottom w:w="113" w:type="dxa"/>
              <w:right w:w="113" w:type="dxa"/>
            </w:tcMar>
          </w:tcPr>
          <w:p w14:paraId="1133BFD9" w14:textId="77777777" w:rsidR="004A7EDA" w:rsidRPr="004A7EDA" w:rsidRDefault="004A7EDA" w:rsidP="00286AE3">
            <w:pPr>
              <w:pStyle w:val="TableCopy"/>
            </w:pPr>
            <w:r w:rsidRPr="004A7EDA">
              <w:t xml:space="preserve">Higher result due to a greater number of </w:t>
            </w:r>
            <w:proofErr w:type="gramStart"/>
            <w:r w:rsidRPr="004A7EDA">
              <w:t>high quality</w:t>
            </w:r>
            <w:proofErr w:type="gramEnd"/>
            <w:r w:rsidRPr="004A7EDA">
              <w:t xml:space="preserve"> applications which were able to be supported within the program budget.</w:t>
            </w:r>
          </w:p>
        </w:tc>
      </w:tr>
      <w:tr w:rsidR="004A7EDA" w:rsidRPr="004A7EDA" w14:paraId="6028BC9C" w14:textId="77777777" w:rsidTr="00773C3E">
        <w:trPr>
          <w:trHeight w:val="113"/>
        </w:trPr>
        <w:tc>
          <w:tcPr>
            <w:tcW w:w="4479" w:type="dxa"/>
            <w:shd w:val="clear" w:color="auto" w:fill="auto"/>
            <w:tcMar>
              <w:top w:w="113" w:type="dxa"/>
              <w:left w:w="28" w:type="dxa"/>
              <w:bottom w:w="113" w:type="dxa"/>
              <w:right w:w="28" w:type="dxa"/>
            </w:tcMar>
          </w:tcPr>
          <w:p w14:paraId="68BEC8C1" w14:textId="77777777" w:rsidR="004A7EDA" w:rsidRPr="004A7EDA" w:rsidRDefault="004A7EDA" w:rsidP="00286AE3">
            <w:pPr>
              <w:pStyle w:val="TableCopy"/>
              <w:rPr>
                <w:lang w:val="en-GB"/>
              </w:rPr>
            </w:pPr>
            <w:r w:rsidRPr="004A7EDA">
              <w:rPr>
                <w:lang w:val="en-GB"/>
              </w:rPr>
              <w:t>Organisations submitting nominations for</w:t>
            </w:r>
            <w:r w:rsidRPr="004A7EDA">
              <w:rPr>
                <w:lang w:val="en-GB"/>
              </w:rPr>
              <w:br/>
              <w:t>the Community Sport and Recreation Awards</w:t>
            </w:r>
          </w:p>
        </w:tc>
        <w:tc>
          <w:tcPr>
            <w:tcW w:w="964" w:type="dxa"/>
            <w:shd w:val="clear" w:color="auto" w:fill="auto"/>
            <w:tcMar>
              <w:top w:w="113" w:type="dxa"/>
              <w:left w:w="28" w:type="dxa"/>
              <w:bottom w:w="113" w:type="dxa"/>
              <w:right w:w="28" w:type="dxa"/>
            </w:tcMar>
          </w:tcPr>
          <w:p w14:paraId="7A288E8B"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00F1630F" w14:textId="77777777" w:rsidR="004A7EDA" w:rsidRPr="004A7EDA" w:rsidRDefault="004A7EDA" w:rsidP="00286AE3">
            <w:pPr>
              <w:pStyle w:val="TableCopy"/>
              <w:rPr>
                <w:lang w:val="en-GB"/>
              </w:rPr>
            </w:pPr>
            <w:r w:rsidRPr="004A7EDA">
              <w:rPr>
                <w:lang w:val="en-GB"/>
              </w:rPr>
              <w:t>55</w:t>
            </w:r>
          </w:p>
        </w:tc>
        <w:tc>
          <w:tcPr>
            <w:tcW w:w="964" w:type="dxa"/>
            <w:shd w:val="clear" w:color="auto" w:fill="auto"/>
            <w:tcMar>
              <w:top w:w="113" w:type="dxa"/>
              <w:left w:w="28" w:type="dxa"/>
              <w:bottom w:w="113" w:type="dxa"/>
              <w:right w:w="28" w:type="dxa"/>
            </w:tcMar>
          </w:tcPr>
          <w:p w14:paraId="4771F3F7" w14:textId="77777777" w:rsidR="004A7EDA" w:rsidRPr="004A7EDA" w:rsidRDefault="004A7EDA" w:rsidP="00286AE3">
            <w:pPr>
              <w:pStyle w:val="TableCopy"/>
              <w:rPr>
                <w:lang w:val="en-GB"/>
              </w:rPr>
            </w:pPr>
            <w:r w:rsidRPr="004A7EDA">
              <w:rPr>
                <w:lang w:val="en-GB"/>
              </w:rPr>
              <w:t>70</w:t>
            </w:r>
          </w:p>
        </w:tc>
        <w:tc>
          <w:tcPr>
            <w:tcW w:w="1304" w:type="dxa"/>
            <w:shd w:val="clear" w:color="auto" w:fill="auto"/>
            <w:tcMar>
              <w:top w:w="113" w:type="dxa"/>
              <w:left w:w="28" w:type="dxa"/>
              <w:bottom w:w="113" w:type="dxa"/>
              <w:right w:w="28" w:type="dxa"/>
            </w:tcMar>
          </w:tcPr>
          <w:p w14:paraId="79A92970" w14:textId="77777777" w:rsidR="004A7EDA" w:rsidRPr="004A7EDA" w:rsidRDefault="004A7EDA" w:rsidP="00286AE3">
            <w:pPr>
              <w:pStyle w:val="TableCopy"/>
              <w:rPr>
                <w:lang w:val="en-GB"/>
              </w:rPr>
            </w:pPr>
            <w:r w:rsidRPr="004A7EDA">
              <w:rPr>
                <w:lang w:val="en-GB"/>
              </w:rPr>
              <w:t>-21.4%</w:t>
            </w:r>
          </w:p>
        </w:tc>
        <w:tc>
          <w:tcPr>
            <w:tcW w:w="964" w:type="dxa"/>
            <w:shd w:val="clear" w:color="auto" w:fill="auto"/>
            <w:tcMar>
              <w:top w:w="113" w:type="dxa"/>
              <w:left w:w="28" w:type="dxa"/>
              <w:bottom w:w="113" w:type="dxa"/>
              <w:right w:w="28" w:type="dxa"/>
            </w:tcMar>
          </w:tcPr>
          <w:p w14:paraId="69A7A9C4" w14:textId="036AA783" w:rsidR="004A7EDA" w:rsidRPr="004A7EDA" w:rsidRDefault="0099262A" w:rsidP="00286AE3">
            <w:pPr>
              <w:pStyle w:val="TableCopy"/>
              <w:rPr>
                <w:lang w:val="en-GB"/>
              </w:rPr>
            </w:pPr>
            <w:r>
              <w:rPr>
                <w:lang w:val="en-GB"/>
              </w:rPr>
              <w:t>#</w:t>
            </w:r>
          </w:p>
        </w:tc>
      </w:tr>
      <w:tr w:rsidR="004A7EDA" w:rsidRPr="004A7EDA" w14:paraId="33D485E7" w14:textId="77777777" w:rsidTr="00773C3E">
        <w:trPr>
          <w:trHeight w:val="113"/>
        </w:trPr>
        <w:tc>
          <w:tcPr>
            <w:tcW w:w="9638" w:type="dxa"/>
            <w:gridSpan w:val="6"/>
            <w:shd w:val="clear" w:color="auto" w:fill="auto"/>
            <w:tcMar>
              <w:top w:w="113" w:type="dxa"/>
              <w:left w:w="113" w:type="dxa"/>
              <w:bottom w:w="113" w:type="dxa"/>
              <w:right w:w="113" w:type="dxa"/>
            </w:tcMar>
          </w:tcPr>
          <w:p w14:paraId="15D8A8E8" w14:textId="77777777" w:rsidR="004A7EDA" w:rsidRPr="004A7EDA" w:rsidRDefault="004A7EDA" w:rsidP="00286AE3">
            <w:pPr>
              <w:pStyle w:val="TableCopy"/>
            </w:pPr>
            <w:r w:rsidRPr="004A7EDA">
              <w:t>Lower result due to the impact of COVID-19 and activity restrictions on sector activity and participation throughout 2020 and reduction in awards categories offered for the 2021 Community Sport and Recreation Awards from 19 to eight.</w:t>
            </w:r>
          </w:p>
        </w:tc>
      </w:tr>
      <w:tr w:rsidR="004A7EDA" w:rsidRPr="004A7EDA" w14:paraId="3271C162" w14:textId="77777777" w:rsidTr="00773C3E">
        <w:trPr>
          <w:trHeight w:val="113"/>
        </w:trPr>
        <w:tc>
          <w:tcPr>
            <w:tcW w:w="4479" w:type="dxa"/>
            <w:shd w:val="clear" w:color="auto" w:fill="auto"/>
            <w:tcMar>
              <w:top w:w="113" w:type="dxa"/>
              <w:left w:w="28" w:type="dxa"/>
              <w:bottom w:w="113" w:type="dxa"/>
              <w:right w:w="28" w:type="dxa"/>
            </w:tcMar>
          </w:tcPr>
          <w:p w14:paraId="7B21BC8A" w14:textId="77777777" w:rsidR="004A7EDA" w:rsidRPr="004A7EDA" w:rsidRDefault="004A7EDA" w:rsidP="00286AE3">
            <w:pPr>
              <w:pStyle w:val="TableCopy"/>
              <w:rPr>
                <w:lang w:val="en-GB"/>
              </w:rPr>
            </w:pPr>
            <w:r w:rsidRPr="004A7EDA">
              <w:rPr>
                <w:lang w:val="en-GB"/>
              </w:rPr>
              <w:t>Projects in progress that relate to the planning</w:t>
            </w:r>
            <w:r w:rsidRPr="004A7EDA">
              <w:rPr>
                <w:lang w:val="en-GB"/>
              </w:rPr>
              <w:br/>
              <w:t>and development of state level facilities</w:t>
            </w:r>
          </w:p>
        </w:tc>
        <w:tc>
          <w:tcPr>
            <w:tcW w:w="964" w:type="dxa"/>
            <w:shd w:val="clear" w:color="auto" w:fill="auto"/>
            <w:tcMar>
              <w:top w:w="113" w:type="dxa"/>
              <w:left w:w="28" w:type="dxa"/>
              <w:bottom w:w="113" w:type="dxa"/>
              <w:right w:w="28" w:type="dxa"/>
            </w:tcMar>
          </w:tcPr>
          <w:p w14:paraId="584B013A"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07AFB17" w14:textId="77777777" w:rsidR="004A7EDA" w:rsidRPr="004A7EDA" w:rsidRDefault="004A7EDA" w:rsidP="00286AE3">
            <w:pPr>
              <w:pStyle w:val="TableCopy"/>
              <w:rPr>
                <w:lang w:val="en-GB"/>
              </w:rPr>
            </w:pPr>
            <w:r w:rsidRPr="004A7EDA">
              <w:rPr>
                <w:lang w:val="en-GB"/>
              </w:rPr>
              <w:t>26</w:t>
            </w:r>
          </w:p>
        </w:tc>
        <w:tc>
          <w:tcPr>
            <w:tcW w:w="964" w:type="dxa"/>
            <w:shd w:val="clear" w:color="auto" w:fill="auto"/>
            <w:tcMar>
              <w:top w:w="113" w:type="dxa"/>
              <w:left w:w="28" w:type="dxa"/>
              <w:bottom w:w="113" w:type="dxa"/>
              <w:right w:w="28" w:type="dxa"/>
            </w:tcMar>
          </w:tcPr>
          <w:p w14:paraId="18FF8636" w14:textId="77777777" w:rsidR="004A7EDA" w:rsidRPr="004A7EDA" w:rsidRDefault="004A7EDA" w:rsidP="00286AE3">
            <w:pPr>
              <w:pStyle w:val="TableCopy"/>
              <w:rPr>
                <w:lang w:val="en-GB"/>
              </w:rPr>
            </w:pPr>
            <w:r w:rsidRPr="004A7EDA">
              <w:rPr>
                <w:lang w:val="en-GB"/>
              </w:rPr>
              <w:t>19</w:t>
            </w:r>
          </w:p>
        </w:tc>
        <w:tc>
          <w:tcPr>
            <w:tcW w:w="1304" w:type="dxa"/>
            <w:shd w:val="clear" w:color="auto" w:fill="auto"/>
            <w:tcMar>
              <w:top w:w="113" w:type="dxa"/>
              <w:left w:w="28" w:type="dxa"/>
              <w:bottom w:w="113" w:type="dxa"/>
              <w:right w:w="28" w:type="dxa"/>
            </w:tcMar>
          </w:tcPr>
          <w:p w14:paraId="1DCC8BD4" w14:textId="77777777" w:rsidR="004A7EDA" w:rsidRPr="004A7EDA" w:rsidRDefault="004A7EDA" w:rsidP="00286AE3">
            <w:pPr>
              <w:pStyle w:val="TableCopy"/>
              <w:rPr>
                <w:lang w:val="en-GB"/>
              </w:rPr>
            </w:pPr>
            <w:r w:rsidRPr="004A7EDA">
              <w:rPr>
                <w:lang w:val="en-GB"/>
              </w:rPr>
              <w:t>36.8%</w:t>
            </w:r>
          </w:p>
        </w:tc>
        <w:tc>
          <w:tcPr>
            <w:tcW w:w="964" w:type="dxa"/>
            <w:shd w:val="clear" w:color="auto" w:fill="auto"/>
            <w:tcMar>
              <w:top w:w="113" w:type="dxa"/>
              <w:left w:w="28" w:type="dxa"/>
              <w:bottom w:w="113" w:type="dxa"/>
              <w:right w:w="28" w:type="dxa"/>
            </w:tcMar>
          </w:tcPr>
          <w:p w14:paraId="4B1CFF0F" w14:textId="40103EE4" w:rsidR="004A7EDA" w:rsidRPr="004A7EDA" w:rsidRDefault="0099262A" w:rsidP="00286AE3">
            <w:pPr>
              <w:pStyle w:val="TableCopy"/>
              <w:rPr>
                <w:lang w:val="en-GB"/>
              </w:rPr>
            </w:pPr>
            <w:r>
              <w:rPr>
                <w:lang w:val="en-GB"/>
              </w:rPr>
              <w:t>*</w:t>
            </w:r>
          </w:p>
        </w:tc>
      </w:tr>
      <w:tr w:rsidR="004A7EDA" w:rsidRPr="004A7EDA" w14:paraId="210E258B" w14:textId="77777777" w:rsidTr="00773C3E">
        <w:trPr>
          <w:trHeight w:val="113"/>
        </w:trPr>
        <w:tc>
          <w:tcPr>
            <w:tcW w:w="9638" w:type="dxa"/>
            <w:gridSpan w:val="6"/>
            <w:shd w:val="clear" w:color="auto" w:fill="auto"/>
            <w:tcMar>
              <w:top w:w="113" w:type="dxa"/>
              <w:left w:w="113" w:type="dxa"/>
              <w:bottom w:w="113" w:type="dxa"/>
              <w:right w:w="113" w:type="dxa"/>
            </w:tcMar>
          </w:tcPr>
          <w:p w14:paraId="5114ABC3" w14:textId="77777777" w:rsidR="004A7EDA" w:rsidRPr="004A7EDA" w:rsidRDefault="004A7EDA" w:rsidP="00286AE3">
            <w:pPr>
              <w:pStyle w:val="TableCopy"/>
            </w:pPr>
            <w:r w:rsidRPr="004A7EDA">
              <w:t>Higher result due to additional planning studies and infrastructure projects commencing in 2020–21.</w:t>
            </w:r>
          </w:p>
        </w:tc>
      </w:tr>
      <w:tr w:rsidR="004A7EDA" w:rsidRPr="004A7EDA" w14:paraId="2D21E549" w14:textId="77777777" w:rsidTr="00773C3E">
        <w:trPr>
          <w:trHeight w:val="113"/>
        </w:trPr>
        <w:tc>
          <w:tcPr>
            <w:tcW w:w="4479" w:type="dxa"/>
            <w:shd w:val="clear" w:color="auto" w:fill="auto"/>
            <w:tcMar>
              <w:top w:w="113" w:type="dxa"/>
              <w:left w:w="28" w:type="dxa"/>
              <w:bottom w:w="113" w:type="dxa"/>
              <w:right w:w="28" w:type="dxa"/>
            </w:tcMar>
          </w:tcPr>
          <w:p w14:paraId="36C306D6" w14:textId="77777777" w:rsidR="004A7EDA" w:rsidRPr="004A7EDA" w:rsidRDefault="004A7EDA" w:rsidP="00286AE3">
            <w:pPr>
              <w:pStyle w:val="TableCopy"/>
              <w:rPr>
                <w:lang w:val="en-GB"/>
              </w:rPr>
            </w:pPr>
            <w:r w:rsidRPr="004A7EDA">
              <w:rPr>
                <w:lang w:val="en-GB"/>
              </w:rPr>
              <w:t>Racing industry development initiatives</w:t>
            </w:r>
          </w:p>
        </w:tc>
        <w:tc>
          <w:tcPr>
            <w:tcW w:w="964" w:type="dxa"/>
            <w:shd w:val="clear" w:color="auto" w:fill="auto"/>
            <w:tcMar>
              <w:top w:w="113" w:type="dxa"/>
              <w:left w:w="28" w:type="dxa"/>
              <w:bottom w:w="113" w:type="dxa"/>
              <w:right w:w="28" w:type="dxa"/>
            </w:tcMar>
          </w:tcPr>
          <w:p w14:paraId="72EA0233"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16636327" w14:textId="77777777" w:rsidR="004A7EDA" w:rsidRPr="004A7EDA" w:rsidRDefault="004A7EDA" w:rsidP="00286AE3">
            <w:pPr>
              <w:pStyle w:val="TableCopy"/>
              <w:rPr>
                <w:lang w:val="en-GB"/>
              </w:rPr>
            </w:pPr>
            <w:r w:rsidRPr="004A7EDA">
              <w:rPr>
                <w:lang w:val="en-GB"/>
              </w:rPr>
              <w:t>9</w:t>
            </w:r>
          </w:p>
        </w:tc>
        <w:tc>
          <w:tcPr>
            <w:tcW w:w="964" w:type="dxa"/>
            <w:shd w:val="clear" w:color="auto" w:fill="auto"/>
            <w:tcMar>
              <w:top w:w="113" w:type="dxa"/>
              <w:left w:w="28" w:type="dxa"/>
              <w:bottom w:w="113" w:type="dxa"/>
              <w:right w:w="28" w:type="dxa"/>
            </w:tcMar>
          </w:tcPr>
          <w:p w14:paraId="7DDF961F" w14:textId="77777777" w:rsidR="004A7EDA" w:rsidRPr="004A7EDA" w:rsidRDefault="004A7EDA" w:rsidP="00286AE3">
            <w:pPr>
              <w:pStyle w:val="TableCopy"/>
              <w:rPr>
                <w:lang w:val="en-GB"/>
              </w:rPr>
            </w:pPr>
            <w:r w:rsidRPr="004A7EDA">
              <w:rPr>
                <w:lang w:val="en-GB"/>
              </w:rPr>
              <w:t>9</w:t>
            </w:r>
          </w:p>
        </w:tc>
        <w:tc>
          <w:tcPr>
            <w:tcW w:w="1304" w:type="dxa"/>
            <w:shd w:val="clear" w:color="auto" w:fill="auto"/>
            <w:tcMar>
              <w:top w:w="113" w:type="dxa"/>
              <w:left w:w="28" w:type="dxa"/>
              <w:bottom w:w="113" w:type="dxa"/>
              <w:right w:w="28" w:type="dxa"/>
            </w:tcMar>
          </w:tcPr>
          <w:p w14:paraId="058F23FE"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5F647D25" w14:textId="799F177C" w:rsidR="004A7EDA" w:rsidRPr="004A7EDA" w:rsidRDefault="0099262A" w:rsidP="00286AE3">
            <w:pPr>
              <w:pStyle w:val="TableCopy"/>
              <w:rPr>
                <w:lang w:val="en-GB"/>
              </w:rPr>
            </w:pPr>
            <w:r>
              <w:rPr>
                <w:lang w:val="en-GB"/>
              </w:rPr>
              <w:t>*</w:t>
            </w:r>
          </w:p>
        </w:tc>
      </w:tr>
      <w:tr w:rsidR="004A7EDA" w:rsidRPr="004A7EDA" w14:paraId="08B7847D" w14:textId="77777777" w:rsidTr="00773C3E">
        <w:trPr>
          <w:trHeight w:val="113"/>
        </w:trPr>
        <w:tc>
          <w:tcPr>
            <w:tcW w:w="4479" w:type="dxa"/>
            <w:shd w:val="clear" w:color="auto" w:fill="auto"/>
            <w:tcMar>
              <w:top w:w="113" w:type="dxa"/>
              <w:left w:w="28" w:type="dxa"/>
              <w:bottom w:w="113" w:type="dxa"/>
              <w:right w:w="28" w:type="dxa"/>
            </w:tcMar>
          </w:tcPr>
          <w:p w14:paraId="0865EA21" w14:textId="77777777" w:rsidR="004A7EDA" w:rsidRPr="004A7EDA" w:rsidRDefault="004A7EDA" w:rsidP="00286AE3">
            <w:pPr>
              <w:pStyle w:val="TableCopy"/>
              <w:rPr>
                <w:lang w:val="en-GB"/>
              </w:rPr>
            </w:pPr>
            <w:r w:rsidRPr="004A7EDA">
              <w:rPr>
                <w:lang w:val="en-GB"/>
              </w:rPr>
              <w:lastRenderedPageBreak/>
              <w:t>Racing matters processed (including licences,</w:t>
            </w:r>
            <w:r w:rsidRPr="004A7EDA">
              <w:rPr>
                <w:lang w:val="en-GB"/>
              </w:rPr>
              <w:br/>
              <w:t>permits and grant applications)</w:t>
            </w:r>
          </w:p>
        </w:tc>
        <w:tc>
          <w:tcPr>
            <w:tcW w:w="964" w:type="dxa"/>
            <w:shd w:val="clear" w:color="auto" w:fill="auto"/>
            <w:tcMar>
              <w:top w:w="113" w:type="dxa"/>
              <w:left w:w="28" w:type="dxa"/>
              <w:bottom w:w="113" w:type="dxa"/>
              <w:right w:w="28" w:type="dxa"/>
            </w:tcMar>
          </w:tcPr>
          <w:p w14:paraId="48D3A7D7"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7ADAB141" w14:textId="77777777" w:rsidR="004A7EDA" w:rsidRPr="004A7EDA" w:rsidRDefault="004A7EDA" w:rsidP="00286AE3">
            <w:pPr>
              <w:pStyle w:val="TableCopy"/>
              <w:rPr>
                <w:lang w:val="en-GB"/>
              </w:rPr>
            </w:pPr>
            <w:r w:rsidRPr="004A7EDA">
              <w:rPr>
                <w:lang w:val="en-GB"/>
              </w:rPr>
              <w:t>129</w:t>
            </w:r>
          </w:p>
        </w:tc>
        <w:tc>
          <w:tcPr>
            <w:tcW w:w="964" w:type="dxa"/>
            <w:shd w:val="clear" w:color="auto" w:fill="auto"/>
            <w:tcMar>
              <w:top w:w="113" w:type="dxa"/>
              <w:left w:w="28" w:type="dxa"/>
              <w:bottom w:w="113" w:type="dxa"/>
              <w:right w:w="28" w:type="dxa"/>
            </w:tcMar>
          </w:tcPr>
          <w:p w14:paraId="32CEF5C3" w14:textId="77777777" w:rsidR="004A7EDA" w:rsidRPr="004A7EDA" w:rsidRDefault="004A7EDA" w:rsidP="00286AE3">
            <w:pPr>
              <w:pStyle w:val="TableCopy"/>
              <w:rPr>
                <w:lang w:val="en-GB"/>
              </w:rPr>
            </w:pPr>
            <w:r w:rsidRPr="004A7EDA">
              <w:rPr>
                <w:lang w:val="en-GB"/>
              </w:rPr>
              <w:t>300</w:t>
            </w:r>
          </w:p>
        </w:tc>
        <w:tc>
          <w:tcPr>
            <w:tcW w:w="1304" w:type="dxa"/>
            <w:shd w:val="clear" w:color="auto" w:fill="auto"/>
            <w:tcMar>
              <w:top w:w="113" w:type="dxa"/>
              <w:left w:w="28" w:type="dxa"/>
              <w:bottom w:w="113" w:type="dxa"/>
              <w:right w:w="28" w:type="dxa"/>
            </w:tcMar>
          </w:tcPr>
          <w:p w14:paraId="48B70A16" w14:textId="77777777" w:rsidR="004A7EDA" w:rsidRPr="004A7EDA" w:rsidRDefault="004A7EDA" w:rsidP="00286AE3">
            <w:pPr>
              <w:pStyle w:val="TableCopy"/>
              <w:rPr>
                <w:lang w:val="en-GB"/>
              </w:rPr>
            </w:pPr>
            <w:r w:rsidRPr="004A7EDA">
              <w:rPr>
                <w:lang w:val="en-GB"/>
              </w:rPr>
              <w:t>-57.0%</w:t>
            </w:r>
          </w:p>
        </w:tc>
        <w:tc>
          <w:tcPr>
            <w:tcW w:w="964" w:type="dxa"/>
            <w:shd w:val="clear" w:color="auto" w:fill="auto"/>
            <w:tcMar>
              <w:top w:w="113" w:type="dxa"/>
              <w:left w:w="28" w:type="dxa"/>
              <w:bottom w:w="113" w:type="dxa"/>
              <w:right w:w="28" w:type="dxa"/>
            </w:tcMar>
          </w:tcPr>
          <w:p w14:paraId="310ADC70" w14:textId="3C3D0903" w:rsidR="004A7EDA" w:rsidRPr="004A7EDA" w:rsidRDefault="0099262A" w:rsidP="00286AE3">
            <w:pPr>
              <w:pStyle w:val="TableCopy"/>
              <w:rPr>
                <w:lang w:val="en-GB"/>
              </w:rPr>
            </w:pPr>
            <w:r>
              <w:rPr>
                <w:lang w:val="en-GB"/>
              </w:rPr>
              <w:t>#</w:t>
            </w:r>
          </w:p>
        </w:tc>
      </w:tr>
      <w:tr w:rsidR="004A7EDA" w:rsidRPr="004A7EDA" w14:paraId="730AB285" w14:textId="77777777" w:rsidTr="00773C3E">
        <w:trPr>
          <w:trHeight w:val="113"/>
        </w:trPr>
        <w:tc>
          <w:tcPr>
            <w:tcW w:w="9638" w:type="dxa"/>
            <w:gridSpan w:val="6"/>
            <w:shd w:val="clear" w:color="auto" w:fill="auto"/>
            <w:tcMar>
              <w:top w:w="113" w:type="dxa"/>
              <w:left w:w="113" w:type="dxa"/>
              <w:bottom w:w="113" w:type="dxa"/>
              <w:right w:w="113" w:type="dxa"/>
            </w:tcMar>
          </w:tcPr>
          <w:p w14:paraId="0362740C" w14:textId="77777777" w:rsidR="004A7EDA" w:rsidRPr="004A7EDA" w:rsidRDefault="004A7EDA" w:rsidP="00286AE3">
            <w:pPr>
              <w:pStyle w:val="TableCopy"/>
            </w:pPr>
            <w:r w:rsidRPr="004A7EDA">
              <w:t>Lower result due to the impact of COVID-19 and activity restrictions on racing resulting in a significant reduction in crowds attending race meetings and minor licencing requests.</w:t>
            </w:r>
          </w:p>
        </w:tc>
      </w:tr>
      <w:tr w:rsidR="004A7EDA" w:rsidRPr="004A7EDA" w14:paraId="2F593DDA" w14:textId="77777777" w:rsidTr="00773C3E">
        <w:trPr>
          <w:trHeight w:val="113"/>
        </w:trPr>
        <w:tc>
          <w:tcPr>
            <w:tcW w:w="4479" w:type="dxa"/>
            <w:shd w:val="clear" w:color="auto" w:fill="auto"/>
            <w:tcMar>
              <w:top w:w="113" w:type="dxa"/>
              <w:left w:w="28" w:type="dxa"/>
              <w:bottom w:w="113" w:type="dxa"/>
              <w:right w:w="28" w:type="dxa"/>
            </w:tcMar>
          </w:tcPr>
          <w:p w14:paraId="7C6F8110" w14:textId="77777777" w:rsidR="004A7EDA" w:rsidRPr="004A7EDA" w:rsidRDefault="004A7EDA" w:rsidP="00286AE3">
            <w:pPr>
              <w:pStyle w:val="TableCopy"/>
              <w:rPr>
                <w:lang w:val="en-GB"/>
              </w:rPr>
            </w:pPr>
            <w:r w:rsidRPr="004A7EDA">
              <w:rPr>
                <w:lang w:val="en-GB"/>
              </w:rPr>
              <w:t xml:space="preserve">Significant Sporting Events Program – </w:t>
            </w:r>
            <w:r w:rsidRPr="004A7EDA">
              <w:rPr>
                <w:lang w:val="en-GB"/>
              </w:rPr>
              <w:br/>
              <w:t>Events Facilitated</w:t>
            </w:r>
          </w:p>
        </w:tc>
        <w:tc>
          <w:tcPr>
            <w:tcW w:w="964" w:type="dxa"/>
            <w:shd w:val="clear" w:color="auto" w:fill="auto"/>
            <w:tcMar>
              <w:top w:w="113" w:type="dxa"/>
              <w:left w:w="28" w:type="dxa"/>
              <w:bottom w:w="113" w:type="dxa"/>
              <w:right w:w="28" w:type="dxa"/>
            </w:tcMar>
          </w:tcPr>
          <w:p w14:paraId="5CB7409E"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7D36C656" w14:textId="77777777" w:rsidR="004A7EDA" w:rsidRPr="004A7EDA" w:rsidRDefault="004A7EDA" w:rsidP="00286AE3">
            <w:pPr>
              <w:pStyle w:val="TableCopy"/>
              <w:rPr>
                <w:lang w:val="en-GB"/>
              </w:rPr>
            </w:pPr>
            <w:r w:rsidRPr="004A7EDA">
              <w:rPr>
                <w:lang w:val="en-GB"/>
              </w:rPr>
              <w:t>23</w:t>
            </w:r>
          </w:p>
        </w:tc>
        <w:tc>
          <w:tcPr>
            <w:tcW w:w="964" w:type="dxa"/>
            <w:shd w:val="clear" w:color="auto" w:fill="auto"/>
            <w:tcMar>
              <w:top w:w="113" w:type="dxa"/>
              <w:left w:w="28" w:type="dxa"/>
              <w:bottom w:w="113" w:type="dxa"/>
              <w:right w:w="28" w:type="dxa"/>
            </w:tcMar>
          </w:tcPr>
          <w:p w14:paraId="3963C262" w14:textId="77777777" w:rsidR="004A7EDA" w:rsidRPr="004A7EDA" w:rsidRDefault="004A7EDA" w:rsidP="00286AE3">
            <w:pPr>
              <w:pStyle w:val="TableCopy"/>
              <w:rPr>
                <w:lang w:val="en-GB"/>
              </w:rPr>
            </w:pPr>
            <w:r w:rsidRPr="004A7EDA">
              <w:rPr>
                <w:lang w:val="en-GB"/>
              </w:rPr>
              <w:t>75</w:t>
            </w:r>
          </w:p>
        </w:tc>
        <w:tc>
          <w:tcPr>
            <w:tcW w:w="1304" w:type="dxa"/>
            <w:shd w:val="clear" w:color="auto" w:fill="auto"/>
            <w:tcMar>
              <w:top w:w="113" w:type="dxa"/>
              <w:left w:w="28" w:type="dxa"/>
              <w:bottom w:w="113" w:type="dxa"/>
              <w:right w:w="28" w:type="dxa"/>
            </w:tcMar>
          </w:tcPr>
          <w:p w14:paraId="43250E3B" w14:textId="77777777" w:rsidR="004A7EDA" w:rsidRPr="004A7EDA" w:rsidRDefault="004A7EDA" w:rsidP="00286AE3">
            <w:pPr>
              <w:pStyle w:val="TableCopy"/>
              <w:rPr>
                <w:lang w:val="en-GB"/>
              </w:rPr>
            </w:pPr>
            <w:r w:rsidRPr="004A7EDA">
              <w:rPr>
                <w:lang w:val="en-GB"/>
              </w:rPr>
              <w:t>-69.3%</w:t>
            </w:r>
          </w:p>
        </w:tc>
        <w:tc>
          <w:tcPr>
            <w:tcW w:w="964" w:type="dxa"/>
            <w:shd w:val="clear" w:color="auto" w:fill="auto"/>
            <w:tcMar>
              <w:top w:w="113" w:type="dxa"/>
              <w:left w:w="28" w:type="dxa"/>
              <w:bottom w:w="113" w:type="dxa"/>
              <w:right w:w="28" w:type="dxa"/>
            </w:tcMar>
          </w:tcPr>
          <w:p w14:paraId="7F9FC519" w14:textId="3B7D40DD" w:rsidR="004A7EDA" w:rsidRPr="004A7EDA" w:rsidRDefault="0099262A" w:rsidP="00286AE3">
            <w:pPr>
              <w:pStyle w:val="TableCopy"/>
              <w:rPr>
                <w:lang w:val="en-GB"/>
              </w:rPr>
            </w:pPr>
            <w:r>
              <w:rPr>
                <w:lang w:val="en-GB"/>
              </w:rPr>
              <w:t>#</w:t>
            </w:r>
          </w:p>
        </w:tc>
      </w:tr>
      <w:tr w:rsidR="004A7EDA" w:rsidRPr="004A7EDA" w14:paraId="4F0A99F5" w14:textId="77777777" w:rsidTr="00773C3E">
        <w:trPr>
          <w:trHeight w:val="113"/>
        </w:trPr>
        <w:tc>
          <w:tcPr>
            <w:tcW w:w="9638" w:type="dxa"/>
            <w:gridSpan w:val="6"/>
            <w:shd w:val="clear" w:color="auto" w:fill="auto"/>
            <w:tcMar>
              <w:top w:w="113" w:type="dxa"/>
              <w:left w:w="113" w:type="dxa"/>
              <w:bottom w:w="113" w:type="dxa"/>
              <w:right w:w="113" w:type="dxa"/>
            </w:tcMar>
          </w:tcPr>
          <w:p w14:paraId="0DA6B215" w14:textId="77777777" w:rsidR="004A7EDA" w:rsidRPr="004A7EDA" w:rsidRDefault="004A7EDA" w:rsidP="00286AE3">
            <w:pPr>
              <w:pStyle w:val="TableCopy"/>
            </w:pPr>
            <w:r w:rsidRPr="004A7EDA">
              <w:t>Lower result due to the impact of COVID-19 and activity restrictions on sport and recreation resulting in a significant reduction in events being held during 2020–21.</w:t>
            </w:r>
          </w:p>
        </w:tc>
      </w:tr>
      <w:tr w:rsidR="004A7EDA" w:rsidRPr="004A7EDA" w14:paraId="626F4951" w14:textId="77777777" w:rsidTr="00773C3E">
        <w:trPr>
          <w:trHeight w:val="113"/>
        </w:trPr>
        <w:tc>
          <w:tcPr>
            <w:tcW w:w="4479" w:type="dxa"/>
            <w:shd w:val="clear" w:color="auto" w:fill="auto"/>
            <w:tcMar>
              <w:top w:w="113" w:type="dxa"/>
              <w:left w:w="28" w:type="dxa"/>
              <w:bottom w:w="113" w:type="dxa"/>
              <w:right w:w="28" w:type="dxa"/>
            </w:tcMar>
          </w:tcPr>
          <w:p w14:paraId="64C12D09" w14:textId="77777777" w:rsidR="004A7EDA" w:rsidRPr="004A7EDA" w:rsidRDefault="004A7EDA" w:rsidP="00286AE3">
            <w:pPr>
              <w:pStyle w:val="TableCopy"/>
              <w:rPr>
                <w:lang w:val="en-GB"/>
              </w:rPr>
            </w:pPr>
            <w:r w:rsidRPr="004A7EDA">
              <w:rPr>
                <w:lang w:val="en-GB"/>
              </w:rPr>
              <w:t>Sport and recreation organisations undertaking programs or activities to enhance participation</w:t>
            </w:r>
          </w:p>
        </w:tc>
        <w:tc>
          <w:tcPr>
            <w:tcW w:w="964" w:type="dxa"/>
            <w:shd w:val="clear" w:color="auto" w:fill="auto"/>
            <w:tcMar>
              <w:top w:w="113" w:type="dxa"/>
              <w:left w:w="28" w:type="dxa"/>
              <w:bottom w:w="113" w:type="dxa"/>
              <w:right w:w="28" w:type="dxa"/>
            </w:tcMar>
          </w:tcPr>
          <w:p w14:paraId="61E994B9"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58FB70F8" w14:textId="77777777" w:rsidR="004A7EDA" w:rsidRPr="004A7EDA" w:rsidRDefault="004A7EDA" w:rsidP="00286AE3">
            <w:pPr>
              <w:pStyle w:val="TableCopy"/>
              <w:rPr>
                <w:lang w:val="en-GB"/>
              </w:rPr>
            </w:pPr>
            <w:r w:rsidRPr="004A7EDA">
              <w:rPr>
                <w:lang w:val="en-GB"/>
              </w:rPr>
              <w:t>112</w:t>
            </w:r>
          </w:p>
        </w:tc>
        <w:tc>
          <w:tcPr>
            <w:tcW w:w="964" w:type="dxa"/>
            <w:shd w:val="clear" w:color="auto" w:fill="auto"/>
            <w:tcMar>
              <w:top w:w="113" w:type="dxa"/>
              <w:left w:w="28" w:type="dxa"/>
              <w:bottom w:w="113" w:type="dxa"/>
              <w:right w:w="28" w:type="dxa"/>
            </w:tcMar>
          </w:tcPr>
          <w:p w14:paraId="4129CC49" w14:textId="77777777" w:rsidR="004A7EDA" w:rsidRPr="004A7EDA" w:rsidRDefault="004A7EDA" w:rsidP="00286AE3">
            <w:pPr>
              <w:pStyle w:val="TableCopy"/>
              <w:rPr>
                <w:lang w:val="en-GB"/>
              </w:rPr>
            </w:pPr>
            <w:r w:rsidRPr="004A7EDA">
              <w:rPr>
                <w:lang w:val="en-GB"/>
              </w:rPr>
              <w:t>112</w:t>
            </w:r>
          </w:p>
        </w:tc>
        <w:tc>
          <w:tcPr>
            <w:tcW w:w="1304" w:type="dxa"/>
            <w:shd w:val="clear" w:color="auto" w:fill="auto"/>
            <w:tcMar>
              <w:top w:w="113" w:type="dxa"/>
              <w:left w:w="28" w:type="dxa"/>
              <w:bottom w:w="113" w:type="dxa"/>
              <w:right w:w="28" w:type="dxa"/>
            </w:tcMar>
          </w:tcPr>
          <w:p w14:paraId="7B8EDF76" w14:textId="77777777" w:rsidR="004A7EDA" w:rsidRPr="004A7EDA" w:rsidRDefault="004A7EDA" w:rsidP="00286AE3">
            <w:pPr>
              <w:pStyle w:val="TableCopy"/>
              <w:rPr>
                <w:lang w:val="en-GB"/>
              </w:rPr>
            </w:pPr>
            <w:r w:rsidRPr="004A7EDA">
              <w:rPr>
                <w:lang w:val="en-GB"/>
              </w:rPr>
              <w:t>0.0%</w:t>
            </w:r>
          </w:p>
        </w:tc>
        <w:tc>
          <w:tcPr>
            <w:tcW w:w="964" w:type="dxa"/>
            <w:shd w:val="clear" w:color="auto" w:fill="auto"/>
            <w:tcMar>
              <w:top w:w="113" w:type="dxa"/>
              <w:left w:w="28" w:type="dxa"/>
              <w:bottom w:w="113" w:type="dxa"/>
              <w:right w:w="28" w:type="dxa"/>
            </w:tcMar>
          </w:tcPr>
          <w:p w14:paraId="331FB4FE" w14:textId="40FCEC94" w:rsidR="004A7EDA" w:rsidRPr="004A7EDA" w:rsidRDefault="0099262A" w:rsidP="00286AE3">
            <w:pPr>
              <w:pStyle w:val="TableCopy"/>
              <w:rPr>
                <w:lang w:val="en-GB"/>
              </w:rPr>
            </w:pPr>
            <w:r>
              <w:rPr>
                <w:lang w:val="en-GB"/>
              </w:rPr>
              <w:t>*</w:t>
            </w:r>
          </w:p>
        </w:tc>
      </w:tr>
      <w:tr w:rsidR="004A7EDA" w:rsidRPr="004A7EDA" w14:paraId="35C14DB5" w14:textId="77777777" w:rsidTr="00773C3E">
        <w:trPr>
          <w:trHeight w:val="113"/>
        </w:trPr>
        <w:tc>
          <w:tcPr>
            <w:tcW w:w="4479" w:type="dxa"/>
            <w:shd w:val="clear" w:color="auto" w:fill="auto"/>
            <w:tcMar>
              <w:top w:w="113" w:type="dxa"/>
              <w:left w:w="28" w:type="dxa"/>
              <w:bottom w:w="113" w:type="dxa"/>
              <w:right w:w="28" w:type="dxa"/>
            </w:tcMar>
          </w:tcPr>
          <w:p w14:paraId="625C887B" w14:textId="77777777" w:rsidR="004A7EDA" w:rsidRPr="004A7EDA" w:rsidRDefault="004A7EDA" w:rsidP="00286AE3">
            <w:pPr>
              <w:pStyle w:val="TableCopy"/>
              <w:rPr>
                <w:lang w:val="en-GB"/>
              </w:rPr>
            </w:pPr>
            <w:r w:rsidRPr="004A7EDA">
              <w:rPr>
                <w:lang w:val="en-GB"/>
              </w:rPr>
              <w:t>Sporting club grants to recipients which are based in low socio-economic areas as identified by the SEIFA index</w:t>
            </w:r>
          </w:p>
        </w:tc>
        <w:tc>
          <w:tcPr>
            <w:tcW w:w="964" w:type="dxa"/>
            <w:shd w:val="clear" w:color="auto" w:fill="auto"/>
            <w:tcMar>
              <w:top w:w="113" w:type="dxa"/>
              <w:left w:w="28" w:type="dxa"/>
              <w:bottom w:w="113" w:type="dxa"/>
              <w:right w:w="28" w:type="dxa"/>
            </w:tcMar>
          </w:tcPr>
          <w:p w14:paraId="12ECD1A5"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22335D31" w14:textId="77777777" w:rsidR="004A7EDA" w:rsidRPr="004A7EDA" w:rsidRDefault="004A7EDA" w:rsidP="00286AE3">
            <w:pPr>
              <w:pStyle w:val="TableCopy"/>
              <w:rPr>
                <w:lang w:val="en-GB"/>
              </w:rPr>
            </w:pPr>
            <w:r w:rsidRPr="004A7EDA">
              <w:rPr>
                <w:lang w:val="en-GB"/>
              </w:rPr>
              <w:t>50</w:t>
            </w:r>
          </w:p>
        </w:tc>
        <w:tc>
          <w:tcPr>
            <w:tcW w:w="964" w:type="dxa"/>
            <w:shd w:val="clear" w:color="auto" w:fill="auto"/>
            <w:tcMar>
              <w:top w:w="113" w:type="dxa"/>
              <w:left w:w="28" w:type="dxa"/>
              <w:bottom w:w="113" w:type="dxa"/>
              <w:right w:w="28" w:type="dxa"/>
            </w:tcMar>
          </w:tcPr>
          <w:p w14:paraId="278AE7C2" w14:textId="77777777" w:rsidR="004A7EDA" w:rsidRPr="004A7EDA" w:rsidRDefault="004A7EDA" w:rsidP="00286AE3">
            <w:pPr>
              <w:pStyle w:val="TableCopy"/>
              <w:rPr>
                <w:lang w:val="en-GB"/>
              </w:rPr>
            </w:pPr>
            <w:r w:rsidRPr="004A7EDA">
              <w:rPr>
                <w:lang w:val="en-GB"/>
              </w:rPr>
              <w:t>45</w:t>
            </w:r>
          </w:p>
        </w:tc>
        <w:tc>
          <w:tcPr>
            <w:tcW w:w="1304" w:type="dxa"/>
            <w:shd w:val="clear" w:color="auto" w:fill="auto"/>
            <w:tcMar>
              <w:top w:w="113" w:type="dxa"/>
              <w:left w:w="28" w:type="dxa"/>
              <w:bottom w:w="113" w:type="dxa"/>
              <w:right w:w="28" w:type="dxa"/>
            </w:tcMar>
          </w:tcPr>
          <w:p w14:paraId="16E9D7D8" w14:textId="77777777" w:rsidR="004A7EDA" w:rsidRPr="004A7EDA" w:rsidRDefault="004A7EDA" w:rsidP="00286AE3">
            <w:pPr>
              <w:pStyle w:val="TableCopy"/>
              <w:rPr>
                <w:lang w:val="en-GB"/>
              </w:rPr>
            </w:pPr>
            <w:r w:rsidRPr="004A7EDA">
              <w:rPr>
                <w:lang w:val="en-GB"/>
              </w:rPr>
              <w:t>11.1%</w:t>
            </w:r>
          </w:p>
        </w:tc>
        <w:tc>
          <w:tcPr>
            <w:tcW w:w="964" w:type="dxa"/>
            <w:shd w:val="clear" w:color="auto" w:fill="auto"/>
            <w:tcMar>
              <w:top w:w="113" w:type="dxa"/>
              <w:left w:w="28" w:type="dxa"/>
              <w:bottom w:w="113" w:type="dxa"/>
              <w:right w:w="28" w:type="dxa"/>
            </w:tcMar>
          </w:tcPr>
          <w:p w14:paraId="240A2F32" w14:textId="38ECB398" w:rsidR="004A7EDA" w:rsidRPr="004A7EDA" w:rsidRDefault="0099262A" w:rsidP="00286AE3">
            <w:pPr>
              <w:pStyle w:val="TableCopy"/>
              <w:rPr>
                <w:lang w:val="en-GB"/>
              </w:rPr>
            </w:pPr>
            <w:r>
              <w:rPr>
                <w:lang w:val="en-GB"/>
              </w:rPr>
              <w:t>*</w:t>
            </w:r>
          </w:p>
        </w:tc>
      </w:tr>
      <w:tr w:rsidR="004A7EDA" w:rsidRPr="004A7EDA" w14:paraId="43E49269" w14:textId="77777777" w:rsidTr="00773C3E">
        <w:trPr>
          <w:trHeight w:val="113"/>
        </w:trPr>
        <w:tc>
          <w:tcPr>
            <w:tcW w:w="9638" w:type="dxa"/>
            <w:gridSpan w:val="6"/>
            <w:shd w:val="clear" w:color="auto" w:fill="auto"/>
            <w:tcMar>
              <w:top w:w="113" w:type="dxa"/>
              <w:left w:w="113" w:type="dxa"/>
              <w:bottom w:w="113" w:type="dxa"/>
              <w:right w:w="113" w:type="dxa"/>
            </w:tcMar>
          </w:tcPr>
          <w:p w14:paraId="53CEE99A" w14:textId="77777777" w:rsidR="004A7EDA" w:rsidRPr="004A7EDA" w:rsidRDefault="004A7EDA" w:rsidP="00286AE3">
            <w:pPr>
              <w:pStyle w:val="TableCopy"/>
            </w:pPr>
            <w:r w:rsidRPr="004A7EDA">
              <w:t>Higher result due to a higher number of applications received and grants approved to recipients in low socio-economic areas.</w:t>
            </w:r>
          </w:p>
        </w:tc>
      </w:tr>
      <w:tr w:rsidR="004A7EDA" w:rsidRPr="004A7EDA" w14:paraId="1330BE3A" w14:textId="77777777" w:rsidTr="00773C3E">
        <w:trPr>
          <w:trHeight w:val="113"/>
        </w:trPr>
        <w:tc>
          <w:tcPr>
            <w:tcW w:w="4479" w:type="dxa"/>
            <w:shd w:val="clear" w:color="auto" w:fill="auto"/>
            <w:tcMar>
              <w:top w:w="113" w:type="dxa"/>
              <w:left w:w="28" w:type="dxa"/>
              <w:bottom w:w="113" w:type="dxa"/>
              <w:right w:w="28" w:type="dxa"/>
            </w:tcMar>
          </w:tcPr>
          <w:p w14:paraId="32D19B57" w14:textId="77777777" w:rsidR="004A7EDA" w:rsidRPr="004A7EDA" w:rsidRDefault="004A7EDA" w:rsidP="00286AE3">
            <w:pPr>
              <w:pStyle w:val="TableCopy"/>
              <w:rPr>
                <w:lang w:val="en-GB"/>
              </w:rPr>
            </w:pPr>
            <w:r w:rsidRPr="004A7EDA">
              <w:rPr>
                <w:lang w:val="en-GB"/>
              </w:rPr>
              <w:t>Sporting club grants to recipients which are regionally based</w:t>
            </w:r>
          </w:p>
        </w:tc>
        <w:tc>
          <w:tcPr>
            <w:tcW w:w="964" w:type="dxa"/>
            <w:shd w:val="clear" w:color="auto" w:fill="auto"/>
            <w:tcMar>
              <w:top w:w="113" w:type="dxa"/>
              <w:left w:w="28" w:type="dxa"/>
              <w:bottom w:w="113" w:type="dxa"/>
              <w:right w:w="28" w:type="dxa"/>
            </w:tcMar>
          </w:tcPr>
          <w:p w14:paraId="2E41203D"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137E9084" w14:textId="77777777" w:rsidR="004A7EDA" w:rsidRPr="004A7EDA" w:rsidRDefault="004A7EDA" w:rsidP="00286AE3">
            <w:pPr>
              <w:pStyle w:val="TableCopy"/>
              <w:rPr>
                <w:lang w:val="en-GB"/>
              </w:rPr>
            </w:pPr>
            <w:r w:rsidRPr="004A7EDA">
              <w:rPr>
                <w:lang w:val="en-GB"/>
              </w:rPr>
              <w:t>42</w:t>
            </w:r>
          </w:p>
        </w:tc>
        <w:tc>
          <w:tcPr>
            <w:tcW w:w="964" w:type="dxa"/>
            <w:shd w:val="clear" w:color="auto" w:fill="auto"/>
            <w:tcMar>
              <w:top w:w="113" w:type="dxa"/>
              <w:left w:w="28" w:type="dxa"/>
              <w:bottom w:w="113" w:type="dxa"/>
              <w:right w:w="28" w:type="dxa"/>
            </w:tcMar>
          </w:tcPr>
          <w:p w14:paraId="797ACEF3" w14:textId="77777777" w:rsidR="004A7EDA" w:rsidRPr="004A7EDA" w:rsidRDefault="004A7EDA" w:rsidP="00286AE3">
            <w:pPr>
              <w:pStyle w:val="TableCopy"/>
              <w:rPr>
                <w:lang w:val="en-GB"/>
              </w:rPr>
            </w:pPr>
            <w:r w:rsidRPr="004A7EDA">
              <w:rPr>
                <w:lang w:val="en-GB"/>
              </w:rPr>
              <w:t>35</w:t>
            </w:r>
          </w:p>
        </w:tc>
        <w:tc>
          <w:tcPr>
            <w:tcW w:w="1304" w:type="dxa"/>
            <w:shd w:val="clear" w:color="auto" w:fill="auto"/>
            <w:tcMar>
              <w:top w:w="113" w:type="dxa"/>
              <w:left w:w="28" w:type="dxa"/>
              <w:bottom w:w="113" w:type="dxa"/>
              <w:right w:w="28" w:type="dxa"/>
            </w:tcMar>
          </w:tcPr>
          <w:p w14:paraId="7762268D" w14:textId="77777777" w:rsidR="004A7EDA" w:rsidRPr="004A7EDA" w:rsidRDefault="004A7EDA" w:rsidP="00286AE3">
            <w:pPr>
              <w:pStyle w:val="TableCopy"/>
              <w:rPr>
                <w:lang w:val="en-GB"/>
              </w:rPr>
            </w:pPr>
            <w:r w:rsidRPr="004A7EDA">
              <w:rPr>
                <w:lang w:val="en-GB"/>
              </w:rPr>
              <w:t>20.0%</w:t>
            </w:r>
          </w:p>
        </w:tc>
        <w:tc>
          <w:tcPr>
            <w:tcW w:w="964" w:type="dxa"/>
            <w:shd w:val="clear" w:color="auto" w:fill="auto"/>
            <w:tcMar>
              <w:top w:w="113" w:type="dxa"/>
              <w:left w:w="28" w:type="dxa"/>
              <w:bottom w:w="113" w:type="dxa"/>
              <w:right w:w="28" w:type="dxa"/>
            </w:tcMar>
          </w:tcPr>
          <w:p w14:paraId="0B6DED2E" w14:textId="12CB2D5C" w:rsidR="004A7EDA" w:rsidRPr="004A7EDA" w:rsidRDefault="0099262A" w:rsidP="00286AE3">
            <w:pPr>
              <w:pStyle w:val="TableCopy"/>
              <w:rPr>
                <w:lang w:val="en-GB"/>
              </w:rPr>
            </w:pPr>
            <w:r>
              <w:rPr>
                <w:lang w:val="en-GB"/>
              </w:rPr>
              <w:t>*</w:t>
            </w:r>
          </w:p>
        </w:tc>
      </w:tr>
      <w:tr w:rsidR="004A7EDA" w:rsidRPr="004A7EDA" w14:paraId="708C1489" w14:textId="77777777" w:rsidTr="00773C3E">
        <w:trPr>
          <w:trHeight w:val="113"/>
        </w:trPr>
        <w:tc>
          <w:tcPr>
            <w:tcW w:w="9638" w:type="dxa"/>
            <w:gridSpan w:val="6"/>
            <w:shd w:val="clear" w:color="auto" w:fill="auto"/>
            <w:tcMar>
              <w:top w:w="113" w:type="dxa"/>
              <w:left w:w="113" w:type="dxa"/>
              <w:bottom w:w="113" w:type="dxa"/>
              <w:right w:w="113" w:type="dxa"/>
            </w:tcMar>
          </w:tcPr>
          <w:p w14:paraId="4FFE799B" w14:textId="77777777" w:rsidR="004A7EDA" w:rsidRPr="004A7EDA" w:rsidRDefault="004A7EDA" w:rsidP="00286AE3">
            <w:pPr>
              <w:pStyle w:val="TableCopy"/>
            </w:pPr>
            <w:r w:rsidRPr="004A7EDA">
              <w:t>Higher result due to a higher number of applications received and grants approved to recipients in regional areas.</w:t>
            </w:r>
          </w:p>
        </w:tc>
      </w:tr>
      <w:tr w:rsidR="004A7EDA" w:rsidRPr="004A7EDA" w14:paraId="175AD9A7" w14:textId="77777777" w:rsidTr="00773C3E">
        <w:trPr>
          <w:trHeight w:val="113"/>
        </w:trPr>
        <w:tc>
          <w:tcPr>
            <w:tcW w:w="4479" w:type="dxa"/>
            <w:shd w:val="clear" w:color="auto" w:fill="auto"/>
            <w:tcMar>
              <w:top w:w="113" w:type="dxa"/>
              <w:left w:w="28" w:type="dxa"/>
              <w:bottom w:w="113" w:type="dxa"/>
              <w:right w:w="28" w:type="dxa"/>
            </w:tcMar>
          </w:tcPr>
          <w:p w14:paraId="48FCB4D2" w14:textId="77777777" w:rsidR="004A7EDA" w:rsidRPr="004A7EDA" w:rsidRDefault="004A7EDA" w:rsidP="00286AE3">
            <w:pPr>
              <w:pStyle w:val="TableCopy"/>
              <w:rPr>
                <w:lang w:val="en-GB"/>
              </w:rPr>
            </w:pPr>
            <w:r w:rsidRPr="004A7EDA">
              <w:rPr>
                <w:lang w:val="en-GB"/>
              </w:rPr>
              <w:t>Sporting club grants: number approved</w:t>
            </w:r>
          </w:p>
        </w:tc>
        <w:tc>
          <w:tcPr>
            <w:tcW w:w="964" w:type="dxa"/>
            <w:shd w:val="clear" w:color="auto" w:fill="auto"/>
            <w:tcMar>
              <w:top w:w="113" w:type="dxa"/>
              <w:left w:w="28" w:type="dxa"/>
              <w:bottom w:w="113" w:type="dxa"/>
              <w:right w:w="28" w:type="dxa"/>
            </w:tcMar>
          </w:tcPr>
          <w:p w14:paraId="21B1A93E"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37B677E8" w14:textId="77777777" w:rsidR="004A7EDA" w:rsidRPr="004A7EDA" w:rsidRDefault="004A7EDA" w:rsidP="00286AE3">
            <w:pPr>
              <w:pStyle w:val="TableCopy"/>
              <w:rPr>
                <w:lang w:val="en-GB"/>
              </w:rPr>
            </w:pPr>
            <w:r w:rsidRPr="004A7EDA">
              <w:rPr>
                <w:lang w:val="en-GB"/>
              </w:rPr>
              <w:t>4,125</w:t>
            </w:r>
          </w:p>
        </w:tc>
        <w:tc>
          <w:tcPr>
            <w:tcW w:w="964" w:type="dxa"/>
            <w:shd w:val="clear" w:color="auto" w:fill="auto"/>
            <w:tcMar>
              <w:top w:w="113" w:type="dxa"/>
              <w:left w:w="28" w:type="dxa"/>
              <w:bottom w:w="113" w:type="dxa"/>
              <w:right w:w="28" w:type="dxa"/>
            </w:tcMar>
          </w:tcPr>
          <w:p w14:paraId="6E22C496" w14:textId="77777777" w:rsidR="004A7EDA" w:rsidRPr="004A7EDA" w:rsidRDefault="004A7EDA" w:rsidP="00286AE3">
            <w:pPr>
              <w:pStyle w:val="TableCopy"/>
              <w:rPr>
                <w:lang w:val="en-GB"/>
              </w:rPr>
            </w:pPr>
            <w:r w:rsidRPr="004A7EDA">
              <w:rPr>
                <w:lang w:val="en-GB"/>
              </w:rPr>
              <w:t>2,500</w:t>
            </w:r>
          </w:p>
        </w:tc>
        <w:tc>
          <w:tcPr>
            <w:tcW w:w="1304" w:type="dxa"/>
            <w:shd w:val="clear" w:color="auto" w:fill="auto"/>
            <w:tcMar>
              <w:top w:w="113" w:type="dxa"/>
              <w:left w:w="28" w:type="dxa"/>
              <w:bottom w:w="113" w:type="dxa"/>
              <w:right w:w="28" w:type="dxa"/>
            </w:tcMar>
          </w:tcPr>
          <w:p w14:paraId="46DCAF5E" w14:textId="77777777" w:rsidR="004A7EDA" w:rsidRPr="004A7EDA" w:rsidRDefault="004A7EDA" w:rsidP="00286AE3">
            <w:pPr>
              <w:pStyle w:val="TableCopy"/>
              <w:rPr>
                <w:lang w:val="en-GB"/>
              </w:rPr>
            </w:pPr>
            <w:r w:rsidRPr="004A7EDA">
              <w:rPr>
                <w:lang w:val="en-GB"/>
              </w:rPr>
              <w:t>65.0%</w:t>
            </w:r>
          </w:p>
        </w:tc>
        <w:tc>
          <w:tcPr>
            <w:tcW w:w="964" w:type="dxa"/>
            <w:shd w:val="clear" w:color="auto" w:fill="auto"/>
            <w:tcMar>
              <w:top w:w="113" w:type="dxa"/>
              <w:left w:w="28" w:type="dxa"/>
              <w:bottom w:w="113" w:type="dxa"/>
              <w:right w:w="28" w:type="dxa"/>
            </w:tcMar>
          </w:tcPr>
          <w:p w14:paraId="1B40932D" w14:textId="0655988E" w:rsidR="004A7EDA" w:rsidRPr="004A7EDA" w:rsidRDefault="0099262A" w:rsidP="00286AE3">
            <w:pPr>
              <w:pStyle w:val="TableCopy"/>
              <w:rPr>
                <w:lang w:val="en-GB"/>
              </w:rPr>
            </w:pPr>
            <w:r>
              <w:rPr>
                <w:lang w:val="en-GB"/>
              </w:rPr>
              <w:t>*</w:t>
            </w:r>
          </w:p>
        </w:tc>
      </w:tr>
      <w:tr w:rsidR="004A7EDA" w:rsidRPr="004A7EDA" w14:paraId="5FB01E56" w14:textId="77777777" w:rsidTr="00773C3E">
        <w:trPr>
          <w:trHeight w:val="113"/>
        </w:trPr>
        <w:tc>
          <w:tcPr>
            <w:tcW w:w="9638" w:type="dxa"/>
            <w:gridSpan w:val="6"/>
            <w:shd w:val="clear" w:color="auto" w:fill="auto"/>
            <w:tcMar>
              <w:top w:w="113" w:type="dxa"/>
              <w:left w:w="113" w:type="dxa"/>
              <w:bottom w:w="113" w:type="dxa"/>
              <w:right w:w="113" w:type="dxa"/>
            </w:tcMar>
          </w:tcPr>
          <w:p w14:paraId="135C86E8" w14:textId="77777777" w:rsidR="004A7EDA" w:rsidRPr="004A7EDA" w:rsidRDefault="004A7EDA" w:rsidP="00286AE3">
            <w:pPr>
              <w:pStyle w:val="TableCopy"/>
            </w:pPr>
            <w:r w:rsidRPr="004A7EDA">
              <w:t>Higher result due to a higher number of applications that were able to be funded from within the available program budget.</w:t>
            </w:r>
          </w:p>
        </w:tc>
      </w:tr>
      <w:tr w:rsidR="004A7EDA" w:rsidRPr="004A7EDA" w14:paraId="6F7E732E" w14:textId="77777777" w:rsidTr="00773C3E">
        <w:trPr>
          <w:trHeight w:val="113"/>
        </w:trPr>
        <w:tc>
          <w:tcPr>
            <w:tcW w:w="4479" w:type="dxa"/>
            <w:shd w:val="clear" w:color="auto" w:fill="auto"/>
            <w:tcMar>
              <w:top w:w="113" w:type="dxa"/>
              <w:left w:w="28" w:type="dxa"/>
              <w:bottom w:w="113" w:type="dxa"/>
              <w:right w:w="28" w:type="dxa"/>
            </w:tcMar>
          </w:tcPr>
          <w:p w14:paraId="0288C1F5" w14:textId="77777777" w:rsidR="004A7EDA" w:rsidRPr="004A7EDA" w:rsidRDefault="004A7EDA" w:rsidP="00286AE3">
            <w:pPr>
              <w:pStyle w:val="TableCopy"/>
              <w:rPr>
                <w:lang w:val="en-GB"/>
              </w:rPr>
            </w:pPr>
            <w:r w:rsidRPr="004A7EDA">
              <w:rPr>
                <w:lang w:val="en-GB"/>
              </w:rPr>
              <w:t>Sports with athletes on Victorian Institute of Sport (VIS) scholarships</w:t>
            </w:r>
          </w:p>
        </w:tc>
        <w:tc>
          <w:tcPr>
            <w:tcW w:w="964" w:type="dxa"/>
            <w:shd w:val="clear" w:color="auto" w:fill="auto"/>
            <w:tcMar>
              <w:top w:w="113" w:type="dxa"/>
              <w:left w:w="28" w:type="dxa"/>
              <w:bottom w:w="113" w:type="dxa"/>
              <w:right w:w="28" w:type="dxa"/>
            </w:tcMar>
          </w:tcPr>
          <w:p w14:paraId="53857905" w14:textId="77777777" w:rsidR="004A7EDA" w:rsidRPr="004A7EDA" w:rsidRDefault="004A7EDA" w:rsidP="00286AE3">
            <w:pPr>
              <w:pStyle w:val="TableCopy"/>
              <w:rPr>
                <w:lang w:val="en-GB"/>
              </w:rPr>
            </w:pPr>
            <w:r w:rsidRPr="004A7EDA">
              <w:rPr>
                <w:lang w:val="en-GB"/>
              </w:rPr>
              <w:t>number</w:t>
            </w:r>
          </w:p>
        </w:tc>
        <w:tc>
          <w:tcPr>
            <w:tcW w:w="963" w:type="dxa"/>
            <w:shd w:val="clear" w:color="auto" w:fill="auto"/>
            <w:tcMar>
              <w:top w:w="113" w:type="dxa"/>
              <w:left w:w="28" w:type="dxa"/>
              <w:bottom w:w="113" w:type="dxa"/>
              <w:right w:w="28" w:type="dxa"/>
            </w:tcMar>
          </w:tcPr>
          <w:p w14:paraId="42808451" w14:textId="77777777" w:rsidR="004A7EDA" w:rsidRPr="004A7EDA" w:rsidRDefault="004A7EDA" w:rsidP="00286AE3">
            <w:pPr>
              <w:pStyle w:val="TableCopy"/>
              <w:rPr>
                <w:lang w:val="en-GB"/>
              </w:rPr>
            </w:pPr>
            <w:r w:rsidRPr="004A7EDA">
              <w:rPr>
                <w:lang w:val="en-GB"/>
              </w:rPr>
              <w:t>44</w:t>
            </w:r>
          </w:p>
        </w:tc>
        <w:tc>
          <w:tcPr>
            <w:tcW w:w="964" w:type="dxa"/>
            <w:shd w:val="clear" w:color="auto" w:fill="auto"/>
            <w:tcMar>
              <w:top w:w="113" w:type="dxa"/>
              <w:left w:w="28" w:type="dxa"/>
              <w:bottom w:w="113" w:type="dxa"/>
              <w:right w:w="28" w:type="dxa"/>
            </w:tcMar>
          </w:tcPr>
          <w:p w14:paraId="5760FD8D" w14:textId="77777777" w:rsidR="004A7EDA" w:rsidRPr="004A7EDA" w:rsidRDefault="004A7EDA" w:rsidP="00286AE3">
            <w:pPr>
              <w:pStyle w:val="TableCopy"/>
              <w:rPr>
                <w:lang w:val="en-GB"/>
              </w:rPr>
            </w:pPr>
            <w:r w:rsidRPr="004A7EDA">
              <w:rPr>
                <w:lang w:val="en-GB"/>
              </w:rPr>
              <w:t>25</w:t>
            </w:r>
          </w:p>
        </w:tc>
        <w:tc>
          <w:tcPr>
            <w:tcW w:w="1304" w:type="dxa"/>
            <w:shd w:val="clear" w:color="auto" w:fill="auto"/>
            <w:tcMar>
              <w:top w:w="113" w:type="dxa"/>
              <w:left w:w="28" w:type="dxa"/>
              <w:bottom w:w="113" w:type="dxa"/>
              <w:right w:w="28" w:type="dxa"/>
            </w:tcMar>
          </w:tcPr>
          <w:p w14:paraId="3EEBFA2A" w14:textId="77777777" w:rsidR="004A7EDA" w:rsidRPr="004A7EDA" w:rsidRDefault="004A7EDA" w:rsidP="00286AE3">
            <w:pPr>
              <w:pStyle w:val="TableCopy"/>
              <w:rPr>
                <w:lang w:val="en-GB"/>
              </w:rPr>
            </w:pPr>
            <w:r w:rsidRPr="004A7EDA">
              <w:rPr>
                <w:lang w:val="en-GB"/>
              </w:rPr>
              <w:t>76.0%</w:t>
            </w:r>
          </w:p>
        </w:tc>
        <w:tc>
          <w:tcPr>
            <w:tcW w:w="964" w:type="dxa"/>
            <w:shd w:val="clear" w:color="auto" w:fill="auto"/>
            <w:tcMar>
              <w:top w:w="113" w:type="dxa"/>
              <w:left w:w="28" w:type="dxa"/>
              <w:bottom w:w="113" w:type="dxa"/>
              <w:right w:w="28" w:type="dxa"/>
            </w:tcMar>
          </w:tcPr>
          <w:p w14:paraId="7DE90554" w14:textId="5DE21B3E" w:rsidR="004A7EDA" w:rsidRPr="004A7EDA" w:rsidRDefault="0099262A" w:rsidP="00286AE3">
            <w:pPr>
              <w:pStyle w:val="TableCopy"/>
              <w:rPr>
                <w:lang w:val="en-GB"/>
              </w:rPr>
            </w:pPr>
            <w:r>
              <w:rPr>
                <w:lang w:val="en-GB"/>
              </w:rPr>
              <w:t>*</w:t>
            </w:r>
          </w:p>
        </w:tc>
      </w:tr>
      <w:tr w:rsidR="004A7EDA" w:rsidRPr="004A7EDA" w14:paraId="15041DB1" w14:textId="77777777" w:rsidTr="00773C3E">
        <w:trPr>
          <w:trHeight w:val="113"/>
        </w:trPr>
        <w:tc>
          <w:tcPr>
            <w:tcW w:w="9638" w:type="dxa"/>
            <w:gridSpan w:val="6"/>
            <w:shd w:val="clear" w:color="auto" w:fill="auto"/>
            <w:tcMar>
              <w:top w:w="113" w:type="dxa"/>
              <w:left w:w="113" w:type="dxa"/>
              <w:bottom w:w="113" w:type="dxa"/>
              <w:right w:w="113" w:type="dxa"/>
            </w:tcMar>
          </w:tcPr>
          <w:p w14:paraId="61159BBA" w14:textId="77777777" w:rsidR="004A7EDA" w:rsidRPr="004A7EDA" w:rsidRDefault="004A7EDA" w:rsidP="00286AE3">
            <w:pPr>
              <w:pStyle w:val="TableCopy"/>
            </w:pPr>
            <w:r w:rsidRPr="004A7EDA">
              <w:t>Higher result due to the increased funding provided to the VIS from national sporting organisations which led to an increase in the number of sport partnerships and athlete scholarships.</w:t>
            </w:r>
          </w:p>
        </w:tc>
      </w:tr>
      <w:tr w:rsidR="004A7EDA" w:rsidRPr="004A7EDA" w14:paraId="1CC11B42" w14:textId="77777777" w:rsidTr="00773C3E">
        <w:trPr>
          <w:trHeight w:val="113"/>
        </w:trPr>
        <w:tc>
          <w:tcPr>
            <w:tcW w:w="4479" w:type="dxa"/>
            <w:shd w:val="clear" w:color="auto" w:fill="auto"/>
            <w:tcMar>
              <w:top w:w="113" w:type="dxa"/>
              <w:left w:w="28" w:type="dxa"/>
              <w:bottom w:w="113" w:type="dxa"/>
              <w:right w:w="28" w:type="dxa"/>
            </w:tcMar>
          </w:tcPr>
          <w:p w14:paraId="59F3D116" w14:textId="77777777" w:rsidR="004A7EDA" w:rsidRPr="004A7EDA" w:rsidRDefault="004A7EDA" w:rsidP="00286AE3">
            <w:pPr>
              <w:pStyle w:val="TableCopy"/>
              <w:rPr>
                <w:lang w:val="en-GB"/>
              </w:rPr>
            </w:pPr>
            <w:r w:rsidRPr="004A7EDA">
              <w:rPr>
                <w:lang w:val="en-GB"/>
              </w:rPr>
              <w:t>Victorian Institute of Sport scholarship holders on national teams/squads</w:t>
            </w:r>
          </w:p>
        </w:tc>
        <w:tc>
          <w:tcPr>
            <w:tcW w:w="964" w:type="dxa"/>
            <w:shd w:val="clear" w:color="auto" w:fill="auto"/>
            <w:tcMar>
              <w:top w:w="113" w:type="dxa"/>
              <w:left w:w="28" w:type="dxa"/>
              <w:bottom w:w="113" w:type="dxa"/>
              <w:right w:w="28" w:type="dxa"/>
            </w:tcMar>
          </w:tcPr>
          <w:p w14:paraId="79A92543"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6907673C" w14:textId="77777777" w:rsidR="004A7EDA" w:rsidRPr="004A7EDA" w:rsidRDefault="004A7EDA" w:rsidP="00286AE3">
            <w:pPr>
              <w:pStyle w:val="TableCopy"/>
              <w:rPr>
                <w:lang w:val="en-GB"/>
              </w:rPr>
            </w:pPr>
            <w:r w:rsidRPr="004A7EDA">
              <w:rPr>
                <w:lang w:val="en-GB"/>
              </w:rPr>
              <w:t>67</w:t>
            </w:r>
          </w:p>
        </w:tc>
        <w:tc>
          <w:tcPr>
            <w:tcW w:w="964" w:type="dxa"/>
            <w:shd w:val="clear" w:color="auto" w:fill="auto"/>
            <w:tcMar>
              <w:top w:w="113" w:type="dxa"/>
              <w:left w:w="28" w:type="dxa"/>
              <w:bottom w:w="113" w:type="dxa"/>
              <w:right w:w="28" w:type="dxa"/>
            </w:tcMar>
          </w:tcPr>
          <w:p w14:paraId="5C105837" w14:textId="77777777" w:rsidR="004A7EDA" w:rsidRPr="004A7EDA" w:rsidRDefault="004A7EDA" w:rsidP="00286AE3">
            <w:pPr>
              <w:pStyle w:val="TableCopy"/>
              <w:rPr>
                <w:lang w:val="en-GB"/>
              </w:rPr>
            </w:pPr>
            <w:r w:rsidRPr="004A7EDA">
              <w:rPr>
                <w:lang w:val="en-GB"/>
              </w:rPr>
              <w:t>60</w:t>
            </w:r>
          </w:p>
        </w:tc>
        <w:tc>
          <w:tcPr>
            <w:tcW w:w="1304" w:type="dxa"/>
            <w:shd w:val="clear" w:color="auto" w:fill="auto"/>
            <w:tcMar>
              <w:top w:w="113" w:type="dxa"/>
              <w:left w:w="28" w:type="dxa"/>
              <w:bottom w:w="113" w:type="dxa"/>
              <w:right w:w="28" w:type="dxa"/>
            </w:tcMar>
          </w:tcPr>
          <w:p w14:paraId="7A1513A3" w14:textId="77777777" w:rsidR="004A7EDA" w:rsidRPr="004A7EDA" w:rsidRDefault="004A7EDA" w:rsidP="00286AE3">
            <w:pPr>
              <w:pStyle w:val="TableCopy"/>
              <w:rPr>
                <w:lang w:val="en-GB"/>
              </w:rPr>
            </w:pPr>
            <w:r w:rsidRPr="004A7EDA">
              <w:rPr>
                <w:lang w:val="en-GB"/>
              </w:rPr>
              <w:t>11.7%</w:t>
            </w:r>
          </w:p>
        </w:tc>
        <w:tc>
          <w:tcPr>
            <w:tcW w:w="964" w:type="dxa"/>
            <w:shd w:val="clear" w:color="auto" w:fill="auto"/>
            <w:tcMar>
              <w:top w:w="113" w:type="dxa"/>
              <w:left w:w="28" w:type="dxa"/>
              <w:bottom w:w="113" w:type="dxa"/>
              <w:right w:w="28" w:type="dxa"/>
            </w:tcMar>
          </w:tcPr>
          <w:p w14:paraId="159F565E" w14:textId="514E90D3" w:rsidR="004A7EDA" w:rsidRPr="004A7EDA" w:rsidRDefault="0099262A" w:rsidP="00286AE3">
            <w:pPr>
              <w:pStyle w:val="TableCopy"/>
              <w:rPr>
                <w:lang w:val="en-GB"/>
              </w:rPr>
            </w:pPr>
            <w:r>
              <w:rPr>
                <w:lang w:val="en-GB"/>
              </w:rPr>
              <w:t>*</w:t>
            </w:r>
          </w:p>
        </w:tc>
      </w:tr>
      <w:tr w:rsidR="004A7EDA" w:rsidRPr="004A7EDA" w14:paraId="187508DB" w14:textId="77777777" w:rsidTr="00773C3E">
        <w:trPr>
          <w:trHeight w:val="113"/>
        </w:trPr>
        <w:tc>
          <w:tcPr>
            <w:tcW w:w="9638" w:type="dxa"/>
            <w:gridSpan w:val="6"/>
            <w:shd w:val="clear" w:color="auto" w:fill="auto"/>
            <w:tcMar>
              <w:top w:w="113" w:type="dxa"/>
              <w:left w:w="113" w:type="dxa"/>
              <w:bottom w:w="113" w:type="dxa"/>
              <w:right w:w="113" w:type="dxa"/>
            </w:tcMar>
          </w:tcPr>
          <w:p w14:paraId="373F74EA" w14:textId="77777777" w:rsidR="004A7EDA" w:rsidRPr="004A7EDA" w:rsidRDefault="004A7EDA" w:rsidP="00286AE3">
            <w:pPr>
              <w:pStyle w:val="TableCopy"/>
            </w:pPr>
            <w:r w:rsidRPr="004A7EDA">
              <w:t xml:space="preserve">Higher result due to the higher percentage of VIS scholarship holders selected to national teams and squads over athletes from other national institutes of sport. </w:t>
            </w:r>
          </w:p>
        </w:tc>
      </w:tr>
      <w:tr w:rsidR="004A7EDA" w:rsidRPr="004A7EDA" w14:paraId="50995300" w14:textId="77777777" w:rsidTr="00773C3E">
        <w:trPr>
          <w:trHeight w:val="113"/>
        </w:trPr>
        <w:tc>
          <w:tcPr>
            <w:tcW w:w="9638" w:type="dxa"/>
            <w:gridSpan w:val="6"/>
            <w:shd w:val="clear" w:color="auto" w:fill="auto"/>
            <w:tcMar>
              <w:top w:w="113" w:type="dxa"/>
              <w:left w:w="28" w:type="dxa"/>
              <w:bottom w:w="113" w:type="dxa"/>
              <w:right w:w="28" w:type="dxa"/>
            </w:tcMar>
          </w:tcPr>
          <w:p w14:paraId="5CE176D9" w14:textId="77777777" w:rsidR="004A7EDA" w:rsidRPr="004A7EDA" w:rsidRDefault="004A7EDA" w:rsidP="00286AE3">
            <w:pPr>
              <w:pStyle w:val="TableCopy"/>
              <w:rPr>
                <w:lang w:val="en-GB"/>
              </w:rPr>
            </w:pPr>
            <w:r w:rsidRPr="004A7EDA">
              <w:rPr>
                <w:lang w:val="en-GB"/>
              </w:rPr>
              <w:t>Quality</w:t>
            </w:r>
          </w:p>
        </w:tc>
      </w:tr>
      <w:tr w:rsidR="004A7EDA" w:rsidRPr="004A7EDA" w14:paraId="027A869B" w14:textId="77777777" w:rsidTr="00773C3E">
        <w:trPr>
          <w:trHeight w:val="113"/>
        </w:trPr>
        <w:tc>
          <w:tcPr>
            <w:tcW w:w="4479" w:type="dxa"/>
            <w:shd w:val="clear" w:color="auto" w:fill="auto"/>
            <w:tcMar>
              <w:top w:w="113" w:type="dxa"/>
              <w:left w:w="28" w:type="dxa"/>
              <w:bottom w:w="113" w:type="dxa"/>
              <w:right w:w="28" w:type="dxa"/>
            </w:tcMar>
          </w:tcPr>
          <w:p w14:paraId="2511FD9E" w14:textId="77777777" w:rsidR="004A7EDA" w:rsidRPr="004A7EDA" w:rsidRDefault="004A7EDA" w:rsidP="00286AE3">
            <w:pPr>
              <w:pStyle w:val="TableCopy"/>
              <w:rPr>
                <w:lang w:val="en-GB"/>
              </w:rPr>
            </w:pPr>
            <w:r w:rsidRPr="004A7EDA">
              <w:rPr>
                <w:lang w:val="en-GB"/>
              </w:rPr>
              <w:t>Contract management of outdoor recreation camps meets agreed key performance indicators</w:t>
            </w:r>
          </w:p>
        </w:tc>
        <w:tc>
          <w:tcPr>
            <w:tcW w:w="964" w:type="dxa"/>
            <w:shd w:val="clear" w:color="auto" w:fill="auto"/>
            <w:tcMar>
              <w:top w:w="113" w:type="dxa"/>
              <w:left w:w="28" w:type="dxa"/>
              <w:bottom w:w="113" w:type="dxa"/>
              <w:right w:w="28" w:type="dxa"/>
            </w:tcMar>
          </w:tcPr>
          <w:p w14:paraId="3E3B6F57"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092B2763" w14:textId="77777777" w:rsidR="004A7EDA" w:rsidRPr="004A7EDA" w:rsidRDefault="004A7EDA" w:rsidP="00286AE3">
            <w:pPr>
              <w:pStyle w:val="TableCopy"/>
              <w:rPr>
                <w:lang w:val="en-GB"/>
              </w:rPr>
            </w:pPr>
            <w:r w:rsidRPr="004A7EDA">
              <w:rPr>
                <w:lang w:val="en-GB"/>
              </w:rPr>
              <w:t>87</w:t>
            </w:r>
          </w:p>
        </w:tc>
        <w:tc>
          <w:tcPr>
            <w:tcW w:w="964" w:type="dxa"/>
            <w:shd w:val="clear" w:color="auto" w:fill="auto"/>
            <w:tcMar>
              <w:top w:w="113" w:type="dxa"/>
              <w:left w:w="28" w:type="dxa"/>
              <w:bottom w:w="113" w:type="dxa"/>
              <w:right w:w="28" w:type="dxa"/>
            </w:tcMar>
          </w:tcPr>
          <w:p w14:paraId="5792BF14" w14:textId="77777777" w:rsidR="004A7EDA" w:rsidRPr="004A7EDA" w:rsidRDefault="004A7EDA" w:rsidP="00286AE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33B9525C" w14:textId="77777777" w:rsidR="004A7EDA" w:rsidRPr="004A7EDA" w:rsidRDefault="004A7EDA" w:rsidP="00286AE3">
            <w:pPr>
              <w:pStyle w:val="TableCopy"/>
              <w:rPr>
                <w:lang w:val="en-GB"/>
              </w:rPr>
            </w:pPr>
            <w:r w:rsidRPr="004A7EDA">
              <w:rPr>
                <w:lang w:val="en-GB"/>
              </w:rPr>
              <w:t>-3.3%</w:t>
            </w:r>
          </w:p>
        </w:tc>
        <w:tc>
          <w:tcPr>
            <w:tcW w:w="964" w:type="dxa"/>
            <w:shd w:val="clear" w:color="auto" w:fill="auto"/>
            <w:tcMar>
              <w:top w:w="113" w:type="dxa"/>
              <w:left w:w="28" w:type="dxa"/>
              <w:bottom w:w="113" w:type="dxa"/>
              <w:right w:w="28" w:type="dxa"/>
            </w:tcMar>
          </w:tcPr>
          <w:p w14:paraId="67996312" w14:textId="7DEF2F82" w:rsidR="004A7EDA" w:rsidRPr="004A7EDA" w:rsidRDefault="0099262A" w:rsidP="00286AE3">
            <w:pPr>
              <w:pStyle w:val="TableCopy"/>
              <w:rPr>
                <w:lang w:val="en-GB"/>
              </w:rPr>
            </w:pPr>
            <w:r>
              <w:rPr>
                <w:lang w:val="en-GB"/>
              </w:rPr>
              <w:t>–</w:t>
            </w:r>
          </w:p>
        </w:tc>
      </w:tr>
      <w:tr w:rsidR="004A7EDA" w:rsidRPr="004A7EDA" w14:paraId="2B371A56" w14:textId="77777777" w:rsidTr="00773C3E">
        <w:trPr>
          <w:trHeight w:val="113"/>
        </w:trPr>
        <w:tc>
          <w:tcPr>
            <w:tcW w:w="9638" w:type="dxa"/>
            <w:gridSpan w:val="6"/>
            <w:shd w:val="clear" w:color="auto" w:fill="auto"/>
            <w:tcMar>
              <w:top w:w="113" w:type="dxa"/>
              <w:left w:w="28" w:type="dxa"/>
              <w:bottom w:w="113" w:type="dxa"/>
              <w:right w:w="28" w:type="dxa"/>
            </w:tcMar>
          </w:tcPr>
          <w:p w14:paraId="318A8C5A" w14:textId="77777777" w:rsidR="004A7EDA" w:rsidRPr="004A7EDA" w:rsidRDefault="004A7EDA" w:rsidP="00286AE3">
            <w:pPr>
              <w:pStyle w:val="TableCopy"/>
            </w:pPr>
            <w:r w:rsidRPr="004A7EDA">
              <w:t>Timeliness</w:t>
            </w:r>
          </w:p>
        </w:tc>
      </w:tr>
      <w:tr w:rsidR="004A7EDA" w:rsidRPr="004A7EDA" w14:paraId="0F4BB246" w14:textId="77777777" w:rsidTr="00773C3E">
        <w:trPr>
          <w:trHeight w:val="113"/>
        </w:trPr>
        <w:tc>
          <w:tcPr>
            <w:tcW w:w="4479" w:type="dxa"/>
            <w:shd w:val="clear" w:color="auto" w:fill="auto"/>
            <w:tcMar>
              <w:top w:w="113" w:type="dxa"/>
              <w:left w:w="28" w:type="dxa"/>
              <w:bottom w:w="113" w:type="dxa"/>
              <w:right w:w="28" w:type="dxa"/>
            </w:tcMar>
          </w:tcPr>
          <w:p w14:paraId="7BFA2437" w14:textId="77777777" w:rsidR="004A7EDA" w:rsidRPr="004A7EDA" w:rsidRDefault="004A7EDA" w:rsidP="00286AE3">
            <w:pPr>
              <w:pStyle w:val="TableCopy"/>
              <w:rPr>
                <w:lang w:val="en-GB"/>
              </w:rPr>
            </w:pPr>
            <w:r w:rsidRPr="004A7EDA">
              <w:rPr>
                <w:lang w:val="en-GB"/>
              </w:rPr>
              <w:t>Community Cricket Program milestones delivered within agreed timeframes</w:t>
            </w:r>
          </w:p>
        </w:tc>
        <w:tc>
          <w:tcPr>
            <w:tcW w:w="964" w:type="dxa"/>
            <w:shd w:val="clear" w:color="auto" w:fill="auto"/>
            <w:tcMar>
              <w:top w:w="113" w:type="dxa"/>
              <w:left w:w="28" w:type="dxa"/>
              <w:bottom w:w="113" w:type="dxa"/>
              <w:right w:w="28" w:type="dxa"/>
            </w:tcMar>
          </w:tcPr>
          <w:p w14:paraId="464C3D0E" w14:textId="77777777" w:rsidR="004A7EDA" w:rsidRPr="004A7EDA" w:rsidRDefault="004A7EDA" w:rsidP="00286AE3">
            <w:pPr>
              <w:pStyle w:val="TableCopy"/>
              <w:rPr>
                <w:lang w:val="en-GB"/>
              </w:rPr>
            </w:pPr>
            <w:r w:rsidRPr="004A7EDA">
              <w:rPr>
                <w:lang w:val="en-GB"/>
              </w:rPr>
              <w:t>per cent</w:t>
            </w:r>
          </w:p>
        </w:tc>
        <w:tc>
          <w:tcPr>
            <w:tcW w:w="963" w:type="dxa"/>
            <w:shd w:val="clear" w:color="auto" w:fill="auto"/>
            <w:tcMar>
              <w:top w:w="113" w:type="dxa"/>
              <w:left w:w="28" w:type="dxa"/>
              <w:bottom w:w="113" w:type="dxa"/>
              <w:right w:w="28" w:type="dxa"/>
            </w:tcMar>
          </w:tcPr>
          <w:p w14:paraId="75CF0B4A" w14:textId="77777777" w:rsidR="004A7EDA" w:rsidRPr="004A7EDA" w:rsidRDefault="004A7EDA" w:rsidP="00286AE3">
            <w:pPr>
              <w:pStyle w:val="TableCopy"/>
              <w:rPr>
                <w:lang w:val="en-GB"/>
              </w:rPr>
            </w:pPr>
            <w:r w:rsidRPr="004A7EDA">
              <w:rPr>
                <w:lang w:val="en-GB"/>
              </w:rPr>
              <w:t>97</w:t>
            </w:r>
          </w:p>
        </w:tc>
        <w:tc>
          <w:tcPr>
            <w:tcW w:w="964" w:type="dxa"/>
            <w:shd w:val="clear" w:color="auto" w:fill="auto"/>
            <w:tcMar>
              <w:top w:w="113" w:type="dxa"/>
              <w:left w:w="28" w:type="dxa"/>
              <w:bottom w:w="113" w:type="dxa"/>
              <w:right w:w="28" w:type="dxa"/>
            </w:tcMar>
          </w:tcPr>
          <w:p w14:paraId="22F1017B" w14:textId="77777777" w:rsidR="004A7EDA" w:rsidRPr="004A7EDA" w:rsidRDefault="004A7EDA" w:rsidP="00286AE3">
            <w:pPr>
              <w:pStyle w:val="TableCopy"/>
              <w:rPr>
                <w:lang w:val="en-GB"/>
              </w:rPr>
            </w:pPr>
            <w:r w:rsidRPr="004A7EDA">
              <w:rPr>
                <w:lang w:val="en-GB"/>
              </w:rPr>
              <w:t>90</w:t>
            </w:r>
          </w:p>
        </w:tc>
        <w:tc>
          <w:tcPr>
            <w:tcW w:w="1304" w:type="dxa"/>
            <w:shd w:val="clear" w:color="auto" w:fill="auto"/>
            <w:tcMar>
              <w:top w:w="113" w:type="dxa"/>
              <w:left w:w="28" w:type="dxa"/>
              <w:bottom w:w="113" w:type="dxa"/>
              <w:right w:w="28" w:type="dxa"/>
            </w:tcMar>
          </w:tcPr>
          <w:p w14:paraId="12D29F3B" w14:textId="77777777" w:rsidR="004A7EDA" w:rsidRPr="004A7EDA" w:rsidRDefault="004A7EDA" w:rsidP="00286AE3">
            <w:pPr>
              <w:pStyle w:val="TableCopy"/>
              <w:rPr>
                <w:lang w:val="en-GB"/>
              </w:rPr>
            </w:pPr>
            <w:r w:rsidRPr="004A7EDA">
              <w:rPr>
                <w:lang w:val="en-GB"/>
              </w:rPr>
              <w:t>7.8%</w:t>
            </w:r>
          </w:p>
        </w:tc>
        <w:tc>
          <w:tcPr>
            <w:tcW w:w="964" w:type="dxa"/>
            <w:shd w:val="clear" w:color="auto" w:fill="auto"/>
            <w:tcMar>
              <w:top w:w="113" w:type="dxa"/>
              <w:left w:w="28" w:type="dxa"/>
              <w:bottom w:w="113" w:type="dxa"/>
              <w:right w:w="28" w:type="dxa"/>
            </w:tcMar>
          </w:tcPr>
          <w:p w14:paraId="35336237" w14:textId="6920770F" w:rsidR="004A7EDA" w:rsidRPr="004A7EDA" w:rsidRDefault="0099262A" w:rsidP="00286AE3">
            <w:pPr>
              <w:pStyle w:val="TableCopy"/>
              <w:rPr>
                <w:lang w:val="en-GB"/>
              </w:rPr>
            </w:pPr>
            <w:r>
              <w:rPr>
                <w:lang w:val="en-GB"/>
              </w:rPr>
              <w:t>*</w:t>
            </w:r>
          </w:p>
        </w:tc>
      </w:tr>
      <w:tr w:rsidR="004A7EDA" w:rsidRPr="004A7EDA" w14:paraId="15DFB01B" w14:textId="77777777" w:rsidTr="00773C3E">
        <w:trPr>
          <w:trHeight w:val="113"/>
        </w:trPr>
        <w:tc>
          <w:tcPr>
            <w:tcW w:w="9638" w:type="dxa"/>
            <w:gridSpan w:val="6"/>
            <w:shd w:val="clear" w:color="auto" w:fill="auto"/>
            <w:tcMar>
              <w:top w:w="113" w:type="dxa"/>
              <w:left w:w="113" w:type="dxa"/>
              <w:bottom w:w="113" w:type="dxa"/>
              <w:right w:w="113" w:type="dxa"/>
            </w:tcMar>
          </w:tcPr>
          <w:p w14:paraId="6602D62F" w14:textId="77777777" w:rsidR="004A7EDA" w:rsidRPr="004A7EDA" w:rsidRDefault="004A7EDA" w:rsidP="00286AE3">
            <w:pPr>
              <w:pStyle w:val="TableCopy"/>
            </w:pPr>
            <w:r w:rsidRPr="004A7EDA">
              <w:t xml:space="preserve">Higher result due to strong performance of programs through the first two rounds of the Community Cricket Program in meeting milestones and the finalisation of agreements through the 2020–21 Community Cricket Program. </w:t>
            </w:r>
          </w:p>
        </w:tc>
      </w:tr>
      <w:tr w:rsidR="004A7EDA" w:rsidRPr="004A7EDA" w14:paraId="0CB1055C" w14:textId="77777777" w:rsidTr="00773C3E">
        <w:trPr>
          <w:trHeight w:val="113"/>
        </w:trPr>
        <w:tc>
          <w:tcPr>
            <w:tcW w:w="9638" w:type="dxa"/>
            <w:gridSpan w:val="6"/>
            <w:shd w:val="clear" w:color="auto" w:fill="auto"/>
            <w:tcMar>
              <w:top w:w="113" w:type="dxa"/>
              <w:left w:w="28" w:type="dxa"/>
              <w:bottom w:w="113" w:type="dxa"/>
              <w:right w:w="28" w:type="dxa"/>
            </w:tcMar>
          </w:tcPr>
          <w:p w14:paraId="4173A5EB" w14:textId="77777777" w:rsidR="004A7EDA" w:rsidRPr="004A7EDA" w:rsidRDefault="004A7EDA" w:rsidP="00286AE3">
            <w:pPr>
              <w:pStyle w:val="TableCopy"/>
              <w:rPr>
                <w:lang w:val="en-GB"/>
              </w:rPr>
            </w:pPr>
            <w:r w:rsidRPr="004A7EDA">
              <w:rPr>
                <w:lang w:val="en-GB"/>
              </w:rPr>
              <w:t>Cost</w:t>
            </w:r>
          </w:p>
        </w:tc>
      </w:tr>
      <w:tr w:rsidR="004A7EDA" w:rsidRPr="004A7EDA" w14:paraId="1C573BFA" w14:textId="77777777" w:rsidTr="00773C3E">
        <w:trPr>
          <w:trHeight w:val="113"/>
        </w:trPr>
        <w:tc>
          <w:tcPr>
            <w:tcW w:w="4479" w:type="dxa"/>
            <w:shd w:val="clear" w:color="auto" w:fill="auto"/>
            <w:tcMar>
              <w:top w:w="113" w:type="dxa"/>
              <w:left w:w="28" w:type="dxa"/>
              <w:bottom w:w="113" w:type="dxa"/>
              <w:right w:w="28" w:type="dxa"/>
            </w:tcMar>
          </w:tcPr>
          <w:p w14:paraId="7E275DDB" w14:textId="77777777" w:rsidR="004A7EDA" w:rsidRPr="004A7EDA" w:rsidRDefault="004A7EDA" w:rsidP="00286AE3">
            <w:pPr>
              <w:pStyle w:val="TableCopy"/>
              <w:rPr>
                <w:lang w:val="en-GB"/>
              </w:rPr>
            </w:pPr>
            <w:r w:rsidRPr="004A7EDA">
              <w:rPr>
                <w:lang w:val="en-GB"/>
              </w:rPr>
              <w:t>Total output cost</w:t>
            </w:r>
          </w:p>
        </w:tc>
        <w:tc>
          <w:tcPr>
            <w:tcW w:w="964" w:type="dxa"/>
            <w:shd w:val="clear" w:color="auto" w:fill="auto"/>
            <w:tcMar>
              <w:top w:w="113" w:type="dxa"/>
              <w:left w:w="28" w:type="dxa"/>
              <w:bottom w:w="113" w:type="dxa"/>
              <w:right w:w="28" w:type="dxa"/>
            </w:tcMar>
          </w:tcPr>
          <w:p w14:paraId="474886AE" w14:textId="77777777" w:rsidR="004A7EDA" w:rsidRPr="004A7EDA" w:rsidRDefault="004A7EDA" w:rsidP="00286AE3">
            <w:pPr>
              <w:pStyle w:val="TableCopy"/>
              <w:rPr>
                <w:lang w:val="en-GB"/>
              </w:rPr>
            </w:pPr>
            <w:r w:rsidRPr="004A7EDA">
              <w:rPr>
                <w:lang w:val="en-GB"/>
              </w:rPr>
              <w:t>$ million</w:t>
            </w:r>
          </w:p>
        </w:tc>
        <w:tc>
          <w:tcPr>
            <w:tcW w:w="963" w:type="dxa"/>
            <w:shd w:val="clear" w:color="auto" w:fill="auto"/>
            <w:tcMar>
              <w:top w:w="113" w:type="dxa"/>
              <w:left w:w="28" w:type="dxa"/>
              <w:bottom w:w="113" w:type="dxa"/>
              <w:right w:w="28" w:type="dxa"/>
            </w:tcMar>
          </w:tcPr>
          <w:p w14:paraId="44639F3F" w14:textId="77777777" w:rsidR="004A7EDA" w:rsidRPr="004A7EDA" w:rsidRDefault="004A7EDA" w:rsidP="00286AE3">
            <w:pPr>
              <w:pStyle w:val="TableCopy"/>
              <w:rPr>
                <w:lang w:val="en-GB"/>
              </w:rPr>
            </w:pPr>
            <w:r w:rsidRPr="004A7EDA">
              <w:rPr>
                <w:lang w:val="en-GB"/>
              </w:rPr>
              <w:t>685.4</w:t>
            </w:r>
          </w:p>
        </w:tc>
        <w:tc>
          <w:tcPr>
            <w:tcW w:w="964" w:type="dxa"/>
            <w:shd w:val="clear" w:color="auto" w:fill="auto"/>
            <w:tcMar>
              <w:top w:w="113" w:type="dxa"/>
              <w:left w:w="28" w:type="dxa"/>
              <w:bottom w:w="113" w:type="dxa"/>
              <w:right w:w="28" w:type="dxa"/>
            </w:tcMar>
          </w:tcPr>
          <w:p w14:paraId="3CE10C27" w14:textId="77777777" w:rsidR="004A7EDA" w:rsidRPr="004A7EDA" w:rsidRDefault="004A7EDA" w:rsidP="00286AE3">
            <w:pPr>
              <w:pStyle w:val="TableCopy"/>
              <w:rPr>
                <w:lang w:val="en-GB"/>
              </w:rPr>
            </w:pPr>
            <w:r w:rsidRPr="004A7EDA">
              <w:rPr>
                <w:lang w:val="en-GB"/>
              </w:rPr>
              <w:t>779.4</w:t>
            </w:r>
          </w:p>
        </w:tc>
        <w:tc>
          <w:tcPr>
            <w:tcW w:w="1304" w:type="dxa"/>
            <w:shd w:val="clear" w:color="auto" w:fill="auto"/>
            <w:tcMar>
              <w:top w:w="113" w:type="dxa"/>
              <w:left w:w="28" w:type="dxa"/>
              <w:bottom w:w="113" w:type="dxa"/>
              <w:right w:w="28" w:type="dxa"/>
            </w:tcMar>
          </w:tcPr>
          <w:p w14:paraId="209C0CF6" w14:textId="77777777" w:rsidR="004A7EDA" w:rsidRPr="004A7EDA" w:rsidRDefault="004A7EDA" w:rsidP="00286AE3">
            <w:pPr>
              <w:pStyle w:val="TableCopy"/>
              <w:rPr>
                <w:lang w:val="en-GB"/>
              </w:rPr>
            </w:pPr>
            <w:r w:rsidRPr="004A7EDA">
              <w:rPr>
                <w:lang w:val="en-GB"/>
              </w:rPr>
              <w:t>-12.1%</w:t>
            </w:r>
          </w:p>
        </w:tc>
        <w:tc>
          <w:tcPr>
            <w:tcW w:w="964" w:type="dxa"/>
            <w:shd w:val="clear" w:color="auto" w:fill="auto"/>
            <w:tcMar>
              <w:top w:w="113" w:type="dxa"/>
              <w:left w:w="28" w:type="dxa"/>
              <w:bottom w:w="113" w:type="dxa"/>
              <w:right w:w="28" w:type="dxa"/>
            </w:tcMar>
          </w:tcPr>
          <w:p w14:paraId="1DA9F636" w14:textId="285E7CCD" w:rsidR="004A7EDA" w:rsidRPr="004A7EDA" w:rsidRDefault="0099262A" w:rsidP="00286AE3">
            <w:pPr>
              <w:pStyle w:val="TableCopy"/>
              <w:rPr>
                <w:lang w:val="en-GB"/>
              </w:rPr>
            </w:pPr>
            <w:r>
              <w:rPr>
                <w:lang w:val="en-GB"/>
              </w:rPr>
              <w:t>*</w:t>
            </w:r>
          </w:p>
        </w:tc>
      </w:tr>
      <w:tr w:rsidR="004A7EDA" w:rsidRPr="004A7EDA" w14:paraId="1DD2C52B" w14:textId="77777777" w:rsidTr="00773C3E">
        <w:trPr>
          <w:trHeight w:val="113"/>
        </w:trPr>
        <w:tc>
          <w:tcPr>
            <w:tcW w:w="9638" w:type="dxa"/>
            <w:gridSpan w:val="6"/>
            <w:shd w:val="clear" w:color="auto" w:fill="auto"/>
            <w:tcMar>
              <w:top w:w="113" w:type="dxa"/>
              <w:left w:w="113" w:type="dxa"/>
              <w:bottom w:w="113" w:type="dxa"/>
              <w:right w:w="113" w:type="dxa"/>
            </w:tcMar>
          </w:tcPr>
          <w:p w14:paraId="59A4AECD" w14:textId="77777777" w:rsidR="004A7EDA" w:rsidRPr="004A7EDA" w:rsidRDefault="004A7EDA" w:rsidP="00286AE3">
            <w:pPr>
              <w:pStyle w:val="TableCopy"/>
            </w:pPr>
            <w:r w:rsidRPr="004A7EDA">
              <w:lastRenderedPageBreak/>
              <w:t>The 2020–21 result was lower than 2020–21 budget primarily due to the timing of payments related to Major Stadia Funding program.</w:t>
            </w:r>
          </w:p>
        </w:tc>
      </w:tr>
    </w:tbl>
    <w:p w14:paraId="67347CA5" w14:textId="03D2CC03" w:rsidR="004A7EDA" w:rsidRPr="004A7EDA" w:rsidRDefault="00286AE3" w:rsidP="004A7EDA">
      <w:pPr>
        <w:rPr>
          <w:lang w:val="en-GB"/>
        </w:rPr>
      </w:pPr>
      <w:r w:rsidRPr="004A7EDA">
        <w:t>Note:</w:t>
      </w:r>
      <w:r w:rsidRPr="004A7EDA">
        <w:t> </w:t>
      </w:r>
      <w:r w:rsidRPr="004A7EDA">
        <w:br/>
      </w:r>
      <w:r>
        <w:t>*</w:t>
      </w:r>
      <w:r w:rsidRPr="004A7EDA">
        <w:t xml:space="preserve"> Performance target achieved or exceeded</w:t>
      </w:r>
      <w:r w:rsidRPr="004A7EDA">
        <w:br/>
      </w:r>
      <w:r>
        <w:t>–</w:t>
      </w:r>
      <w:r w:rsidRPr="004A7EDA">
        <w:t xml:space="preserve"> Performance target not achieved – within 5 per cent variance</w:t>
      </w:r>
      <w:r w:rsidRPr="004A7EDA">
        <w:br/>
      </w:r>
      <w:r>
        <w:t>#</w:t>
      </w:r>
      <w:r w:rsidRPr="004A7EDA">
        <w:t xml:space="preserve"> Performance target not achieved – exceeds 5 per cent variance</w:t>
      </w:r>
    </w:p>
    <w:p w14:paraId="5A332CFF" w14:textId="77777777" w:rsidR="004A7EDA" w:rsidRPr="004A7EDA" w:rsidRDefault="004A7EDA" w:rsidP="004A7EDA">
      <w:pPr>
        <w:rPr>
          <w:lang w:val="en-GB"/>
        </w:rPr>
      </w:pPr>
      <w:r w:rsidRPr="004A7EDA">
        <w:rPr>
          <w:lang w:val="en-GB"/>
        </w:rPr>
        <w:t>Table 25 represents performance against the Tourism and Major Events output. This output maximises employment and the long-term economic benefits of tourism and major events to Victoria by developing</w:t>
      </w:r>
      <w:r w:rsidRPr="004A7EDA">
        <w:rPr>
          <w:lang w:val="en-GB"/>
        </w:rPr>
        <w:br/>
        <w:t>and marketing the State as a competitive destination.</w:t>
      </w:r>
    </w:p>
    <w:p w14:paraId="78521191" w14:textId="77777777" w:rsidR="004A7EDA" w:rsidRPr="004A7EDA" w:rsidRDefault="004A7EDA" w:rsidP="00120E9E">
      <w:pPr>
        <w:pStyle w:val="Heading5"/>
        <w:rPr>
          <w:lang w:val="en-GB"/>
        </w:rPr>
      </w:pPr>
      <w:r w:rsidRPr="004A7EDA">
        <w:rPr>
          <w:lang w:val="en-GB"/>
        </w:rPr>
        <w:t>Table 25: Output – Tourism and Major Events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6"/>
        <w:gridCol w:w="1030"/>
        <w:gridCol w:w="1029"/>
        <w:gridCol w:w="1030"/>
        <w:gridCol w:w="1393"/>
        <w:gridCol w:w="1031"/>
      </w:tblGrid>
      <w:tr w:rsidR="004A7EDA" w:rsidRPr="004A7EDA" w14:paraId="591C255E" w14:textId="77777777" w:rsidTr="00286AE3">
        <w:trPr>
          <w:trHeight w:val="113"/>
          <w:tblHeader/>
        </w:trPr>
        <w:tc>
          <w:tcPr>
            <w:tcW w:w="4786" w:type="dxa"/>
            <w:shd w:val="clear" w:color="auto" w:fill="auto"/>
            <w:tcMar>
              <w:top w:w="113" w:type="dxa"/>
              <w:left w:w="28" w:type="dxa"/>
              <w:bottom w:w="113" w:type="dxa"/>
              <w:right w:w="28" w:type="dxa"/>
            </w:tcMar>
          </w:tcPr>
          <w:p w14:paraId="7F78ED32" w14:textId="77777777" w:rsidR="004A7EDA" w:rsidRPr="004A7EDA" w:rsidRDefault="004A7EDA" w:rsidP="00286AE3">
            <w:pPr>
              <w:pStyle w:val="TableHeading"/>
              <w:rPr>
                <w:lang w:val="en-GB"/>
              </w:rPr>
            </w:pPr>
            <w:r w:rsidRPr="004A7EDA">
              <w:rPr>
                <w:lang w:val="en-GB"/>
              </w:rPr>
              <w:t>Performance measures</w:t>
            </w:r>
          </w:p>
        </w:tc>
        <w:tc>
          <w:tcPr>
            <w:tcW w:w="1030" w:type="dxa"/>
            <w:shd w:val="clear" w:color="auto" w:fill="auto"/>
            <w:tcMar>
              <w:top w:w="113" w:type="dxa"/>
              <w:left w:w="28" w:type="dxa"/>
              <w:bottom w:w="113" w:type="dxa"/>
              <w:right w:w="28" w:type="dxa"/>
            </w:tcMar>
          </w:tcPr>
          <w:p w14:paraId="5D308B60" w14:textId="77777777" w:rsidR="004A7EDA" w:rsidRPr="004A7EDA" w:rsidRDefault="004A7EDA" w:rsidP="00286AE3">
            <w:pPr>
              <w:pStyle w:val="TableHeading"/>
              <w:rPr>
                <w:lang w:val="en-GB"/>
              </w:rPr>
            </w:pPr>
            <w:r w:rsidRPr="004A7EDA">
              <w:rPr>
                <w:lang w:val="en-GB"/>
              </w:rPr>
              <w:t>Unit of measure</w:t>
            </w:r>
          </w:p>
        </w:tc>
        <w:tc>
          <w:tcPr>
            <w:tcW w:w="1029" w:type="dxa"/>
            <w:shd w:val="clear" w:color="auto" w:fill="auto"/>
            <w:tcMar>
              <w:top w:w="113" w:type="dxa"/>
              <w:left w:w="28" w:type="dxa"/>
              <w:bottom w:w="113" w:type="dxa"/>
              <w:right w:w="28" w:type="dxa"/>
            </w:tcMar>
          </w:tcPr>
          <w:p w14:paraId="2A5FD797" w14:textId="77777777" w:rsidR="004A7EDA" w:rsidRPr="004A7EDA" w:rsidRDefault="004A7EDA" w:rsidP="00286AE3">
            <w:pPr>
              <w:pStyle w:val="TableHeading"/>
              <w:rPr>
                <w:lang w:val="en-GB"/>
              </w:rPr>
            </w:pPr>
            <w:r w:rsidRPr="004A7EDA">
              <w:rPr>
                <w:lang w:val="en-GB"/>
              </w:rPr>
              <w:t>2020–21 actual</w:t>
            </w:r>
          </w:p>
        </w:tc>
        <w:tc>
          <w:tcPr>
            <w:tcW w:w="1030" w:type="dxa"/>
            <w:shd w:val="clear" w:color="auto" w:fill="auto"/>
            <w:tcMar>
              <w:top w:w="113" w:type="dxa"/>
              <w:left w:w="28" w:type="dxa"/>
              <w:bottom w:w="113" w:type="dxa"/>
              <w:right w:w="28" w:type="dxa"/>
            </w:tcMar>
          </w:tcPr>
          <w:p w14:paraId="39DE7D0B" w14:textId="77777777" w:rsidR="004A7EDA" w:rsidRPr="004A7EDA" w:rsidRDefault="004A7EDA" w:rsidP="00286AE3">
            <w:pPr>
              <w:pStyle w:val="TableHeading"/>
              <w:rPr>
                <w:lang w:val="en-GB"/>
              </w:rPr>
            </w:pPr>
            <w:r w:rsidRPr="004A7EDA">
              <w:rPr>
                <w:lang w:val="en-GB"/>
              </w:rPr>
              <w:t>2020–21 target</w:t>
            </w:r>
          </w:p>
        </w:tc>
        <w:tc>
          <w:tcPr>
            <w:tcW w:w="1393" w:type="dxa"/>
            <w:shd w:val="clear" w:color="auto" w:fill="auto"/>
            <w:tcMar>
              <w:top w:w="113" w:type="dxa"/>
              <w:left w:w="28" w:type="dxa"/>
              <w:bottom w:w="113" w:type="dxa"/>
              <w:right w:w="28" w:type="dxa"/>
            </w:tcMar>
          </w:tcPr>
          <w:p w14:paraId="276FE9E3" w14:textId="77777777" w:rsidR="004A7EDA" w:rsidRPr="004A7EDA" w:rsidRDefault="004A7EDA" w:rsidP="00286AE3">
            <w:pPr>
              <w:pStyle w:val="TableHeading"/>
              <w:rPr>
                <w:lang w:val="en-GB"/>
              </w:rPr>
            </w:pPr>
            <w:r w:rsidRPr="004A7EDA">
              <w:rPr>
                <w:lang w:val="en-GB"/>
              </w:rPr>
              <w:t>Performance variation (%)</w:t>
            </w:r>
          </w:p>
        </w:tc>
        <w:tc>
          <w:tcPr>
            <w:tcW w:w="1031" w:type="dxa"/>
            <w:shd w:val="clear" w:color="auto" w:fill="auto"/>
            <w:tcMar>
              <w:top w:w="113" w:type="dxa"/>
              <w:left w:w="28" w:type="dxa"/>
              <w:bottom w:w="113" w:type="dxa"/>
              <w:right w:w="28" w:type="dxa"/>
            </w:tcMar>
          </w:tcPr>
          <w:p w14:paraId="0B6C699B" w14:textId="77777777" w:rsidR="004A7EDA" w:rsidRPr="004A7EDA" w:rsidRDefault="004A7EDA" w:rsidP="00286AE3">
            <w:pPr>
              <w:pStyle w:val="TableHeading"/>
              <w:rPr>
                <w:lang w:val="en-GB"/>
              </w:rPr>
            </w:pPr>
            <w:r w:rsidRPr="004A7EDA">
              <w:rPr>
                <w:lang w:val="en-GB"/>
              </w:rPr>
              <w:t>Result</w:t>
            </w:r>
          </w:p>
        </w:tc>
      </w:tr>
      <w:tr w:rsidR="004A7EDA" w:rsidRPr="004A7EDA" w14:paraId="4BEB4693" w14:textId="77777777" w:rsidTr="00D50C66">
        <w:trPr>
          <w:trHeight w:val="113"/>
        </w:trPr>
        <w:tc>
          <w:tcPr>
            <w:tcW w:w="10299" w:type="dxa"/>
            <w:gridSpan w:val="6"/>
            <w:shd w:val="clear" w:color="auto" w:fill="auto"/>
            <w:tcMar>
              <w:top w:w="113" w:type="dxa"/>
              <w:left w:w="28" w:type="dxa"/>
              <w:bottom w:w="113" w:type="dxa"/>
              <w:right w:w="28" w:type="dxa"/>
            </w:tcMar>
          </w:tcPr>
          <w:p w14:paraId="27D25A9F" w14:textId="77777777" w:rsidR="004A7EDA" w:rsidRPr="004A7EDA" w:rsidRDefault="004A7EDA" w:rsidP="00286AE3">
            <w:pPr>
              <w:pStyle w:val="TableCopy"/>
              <w:rPr>
                <w:lang w:val="en-GB"/>
              </w:rPr>
            </w:pPr>
            <w:r w:rsidRPr="004A7EDA">
              <w:rPr>
                <w:lang w:val="en-GB"/>
              </w:rPr>
              <w:t>Quantity</w:t>
            </w:r>
          </w:p>
        </w:tc>
      </w:tr>
      <w:tr w:rsidR="004A7EDA" w:rsidRPr="004A7EDA" w14:paraId="2D92589D" w14:textId="77777777" w:rsidTr="00286AE3">
        <w:trPr>
          <w:trHeight w:val="113"/>
        </w:trPr>
        <w:tc>
          <w:tcPr>
            <w:tcW w:w="4786" w:type="dxa"/>
            <w:shd w:val="clear" w:color="auto" w:fill="auto"/>
            <w:tcMar>
              <w:top w:w="113" w:type="dxa"/>
              <w:left w:w="28" w:type="dxa"/>
              <w:bottom w:w="113" w:type="dxa"/>
              <w:right w:w="28" w:type="dxa"/>
            </w:tcMar>
          </w:tcPr>
          <w:p w14:paraId="1BFF53D1" w14:textId="77777777" w:rsidR="004A7EDA" w:rsidRPr="004A7EDA" w:rsidRDefault="004A7EDA" w:rsidP="00286AE3">
            <w:pPr>
              <w:pStyle w:val="TableCopy"/>
              <w:rPr>
                <w:lang w:val="en-GB"/>
              </w:rPr>
            </w:pPr>
            <w:r w:rsidRPr="004A7EDA">
              <w:rPr>
                <w:lang w:val="en-GB"/>
              </w:rPr>
              <w:t>Business program grants delivered</w:t>
            </w:r>
          </w:p>
        </w:tc>
        <w:tc>
          <w:tcPr>
            <w:tcW w:w="1030" w:type="dxa"/>
            <w:shd w:val="clear" w:color="auto" w:fill="auto"/>
            <w:tcMar>
              <w:top w:w="113" w:type="dxa"/>
              <w:left w:w="28" w:type="dxa"/>
              <w:bottom w:w="113" w:type="dxa"/>
              <w:right w:w="28" w:type="dxa"/>
            </w:tcMar>
          </w:tcPr>
          <w:p w14:paraId="2D3F274F" w14:textId="77777777" w:rsidR="004A7EDA" w:rsidRPr="004A7EDA" w:rsidRDefault="004A7EDA" w:rsidP="00286AE3">
            <w:pPr>
              <w:pStyle w:val="TableCopy"/>
              <w:rPr>
                <w:lang w:val="en-GB"/>
              </w:rPr>
            </w:pPr>
            <w:r w:rsidRPr="004A7EDA">
              <w:rPr>
                <w:lang w:val="en-GB"/>
              </w:rPr>
              <w:t>number</w:t>
            </w:r>
          </w:p>
        </w:tc>
        <w:tc>
          <w:tcPr>
            <w:tcW w:w="1029" w:type="dxa"/>
            <w:shd w:val="clear" w:color="auto" w:fill="auto"/>
            <w:tcMar>
              <w:top w:w="113" w:type="dxa"/>
              <w:left w:w="28" w:type="dxa"/>
              <w:bottom w:w="113" w:type="dxa"/>
              <w:right w:w="28" w:type="dxa"/>
            </w:tcMar>
          </w:tcPr>
          <w:p w14:paraId="6AD3C5E2" w14:textId="77777777" w:rsidR="004A7EDA" w:rsidRPr="004A7EDA" w:rsidRDefault="004A7EDA" w:rsidP="00286AE3">
            <w:pPr>
              <w:pStyle w:val="TableCopy"/>
              <w:rPr>
                <w:lang w:val="en-GB"/>
              </w:rPr>
            </w:pPr>
            <w:r w:rsidRPr="004A7EDA">
              <w:rPr>
                <w:lang w:val="en-GB"/>
              </w:rPr>
              <w:t>9</w:t>
            </w:r>
          </w:p>
        </w:tc>
        <w:tc>
          <w:tcPr>
            <w:tcW w:w="1030" w:type="dxa"/>
            <w:shd w:val="clear" w:color="auto" w:fill="auto"/>
            <w:tcMar>
              <w:top w:w="113" w:type="dxa"/>
              <w:left w:w="28" w:type="dxa"/>
              <w:bottom w:w="113" w:type="dxa"/>
              <w:right w:w="28" w:type="dxa"/>
            </w:tcMar>
          </w:tcPr>
          <w:p w14:paraId="595B542E" w14:textId="77777777" w:rsidR="004A7EDA" w:rsidRPr="004A7EDA" w:rsidRDefault="004A7EDA" w:rsidP="00286AE3">
            <w:pPr>
              <w:pStyle w:val="TableCopy"/>
              <w:rPr>
                <w:lang w:val="en-GB"/>
              </w:rPr>
            </w:pPr>
            <w:r w:rsidRPr="004A7EDA">
              <w:rPr>
                <w:lang w:val="en-GB"/>
              </w:rPr>
              <w:t>12</w:t>
            </w:r>
          </w:p>
        </w:tc>
        <w:tc>
          <w:tcPr>
            <w:tcW w:w="1393" w:type="dxa"/>
            <w:shd w:val="clear" w:color="auto" w:fill="auto"/>
            <w:tcMar>
              <w:top w:w="113" w:type="dxa"/>
              <w:left w:w="28" w:type="dxa"/>
              <w:bottom w:w="113" w:type="dxa"/>
              <w:right w:w="28" w:type="dxa"/>
            </w:tcMar>
          </w:tcPr>
          <w:p w14:paraId="1FB943E7" w14:textId="77777777" w:rsidR="004A7EDA" w:rsidRPr="004A7EDA" w:rsidRDefault="004A7EDA" w:rsidP="00286AE3">
            <w:pPr>
              <w:pStyle w:val="TableCopy"/>
              <w:rPr>
                <w:lang w:val="en-GB"/>
              </w:rPr>
            </w:pPr>
            <w:r w:rsidRPr="004A7EDA">
              <w:rPr>
                <w:lang w:val="en-GB"/>
              </w:rPr>
              <w:t>-25.0%</w:t>
            </w:r>
          </w:p>
        </w:tc>
        <w:tc>
          <w:tcPr>
            <w:tcW w:w="1031" w:type="dxa"/>
            <w:shd w:val="clear" w:color="auto" w:fill="auto"/>
            <w:tcMar>
              <w:top w:w="113" w:type="dxa"/>
              <w:left w:w="28" w:type="dxa"/>
              <w:bottom w:w="113" w:type="dxa"/>
              <w:right w:w="28" w:type="dxa"/>
            </w:tcMar>
          </w:tcPr>
          <w:p w14:paraId="216EAA92" w14:textId="7F49256F" w:rsidR="004A7EDA" w:rsidRPr="004A7EDA" w:rsidRDefault="00120E9E" w:rsidP="00286AE3">
            <w:pPr>
              <w:pStyle w:val="TableCopy"/>
              <w:rPr>
                <w:lang w:val="en-GB"/>
              </w:rPr>
            </w:pPr>
            <w:r>
              <w:rPr>
                <w:lang w:val="en-GB"/>
              </w:rPr>
              <w:t>#</w:t>
            </w:r>
          </w:p>
        </w:tc>
      </w:tr>
      <w:tr w:rsidR="004A7EDA" w:rsidRPr="004A7EDA" w14:paraId="57C98374" w14:textId="77777777" w:rsidTr="00D50C66">
        <w:trPr>
          <w:trHeight w:val="113"/>
        </w:trPr>
        <w:tc>
          <w:tcPr>
            <w:tcW w:w="10299" w:type="dxa"/>
            <w:gridSpan w:val="6"/>
            <w:shd w:val="clear" w:color="auto" w:fill="auto"/>
            <w:tcMar>
              <w:top w:w="113" w:type="dxa"/>
              <w:left w:w="113" w:type="dxa"/>
              <w:bottom w:w="113" w:type="dxa"/>
              <w:right w:w="113" w:type="dxa"/>
            </w:tcMar>
          </w:tcPr>
          <w:p w14:paraId="625E5401" w14:textId="77777777" w:rsidR="004A7EDA" w:rsidRPr="004A7EDA" w:rsidRDefault="004A7EDA" w:rsidP="00286AE3">
            <w:pPr>
              <w:pStyle w:val="TableCopy"/>
            </w:pPr>
            <w:r w:rsidRPr="004A7EDA">
              <w:t>Lower result due to the impact of COVID-19 and associated restrictions on the tourism and events sector, as some programs were</w:t>
            </w:r>
            <w:r w:rsidRPr="004A7EDA">
              <w:br/>
              <w:t>unable to proceed.</w:t>
            </w:r>
          </w:p>
        </w:tc>
      </w:tr>
      <w:tr w:rsidR="004A7EDA" w:rsidRPr="004A7EDA" w14:paraId="3CA75071" w14:textId="77777777" w:rsidTr="00286AE3">
        <w:trPr>
          <w:trHeight w:val="113"/>
        </w:trPr>
        <w:tc>
          <w:tcPr>
            <w:tcW w:w="4786" w:type="dxa"/>
            <w:shd w:val="clear" w:color="auto" w:fill="auto"/>
            <w:tcMar>
              <w:top w:w="113" w:type="dxa"/>
              <w:left w:w="28" w:type="dxa"/>
              <w:bottom w:w="113" w:type="dxa"/>
              <w:right w:w="28" w:type="dxa"/>
            </w:tcMar>
          </w:tcPr>
          <w:p w14:paraId="68C4D1DB" w14:textId="77777777" w:rsidR="004A7EDA" w:rsidRPr="004A7EDA" w:rsidRDefault="004A7EDA" w:rsidP="00286AE3">
            <w:pPr>
              <w:pStyle w:val="TableCopy"/>
              <w:rPr>
                <w:lang w:val="en-GB"/>
              </w:rPr>
            </w:pPr>
            <w:r w:rsidRPr="004A7EDA">
              <w:rPr>
                <w:lang w:val="en-GB"/>
              </w:rPr>
              <w:t>Major sporting and cultural events held</w:t>
            </w:r>
          </w:p>
        </w:tc>
        <w:tc>
          <w:tcPr>
            <w:tcW w:w="1030" w:type="dxa"/>
            <w:shd w:val="clear" w:color="auto" w:fill="auto"/>
            <w:tcMar>
              <w:top w:w="113" w:type="dxa"/>
              <w:left w:w="28" w:type="dxa"/>
              <w:bottom w:w="113" w:type="dxa"/>
              <w:right w:w="28" w:type="dxa"/>
            </w:tcMar>
          </w:tcPr>
          <w:p w14:paraId="61B39ACB" w14:textId="77777777" w:rsidR="004A7EDA" w:rsidRPr="004A7EDA" w:rsidRDefault="004A7EDA" w:rsidP="00286AE3">
            <w:pPr>
              <w:pStyle w:val="TableCopy"/>
              <w:rPr>
                <w:lang w:val="en-GB"/>
              </w:rPr>
            </w:pPr>
            <w:r w:rsidRPr="004A7EDA">
              <w:rPr>
                <w:lang w:val="en-GB"/>
              </w:rPr>
              <w:t>number</w:t>
            </w:r>
          </w:p>
        </w:tc>
        <w:tc>
          <w:tcPr>
            <w:tcW w:w="1029" w:type="dxa"/>
            <w:shd w:val="clear" w:color="auto" w:fill="auto"/>
            <w:tcMar>
              <w:top w:w="113" w:type="dxa"/>
              <w:left w:w="28" w:type="dxa"/>
              <w:bottom w:w="113" w:type="dxa"/>
              <w:right w:w="28" w:type="dxa"/>
            </w:tcMar>
          </w:tcPr>
          <w:p w14:paraId="42464E97" w14:textId="77777777" w:rsidR="004A7EDA" w:rsidRPr="004A7EDA" w:rsidRDefault="004A7EDA" w:rsidP="00286AE3">
            <w:pPr>
              <w:pStyle w:val="TableCopy"/>
              <w:rPr>
                <w:lang w:val="en-GB"/>
              </w:rPr>
            </w:pPr>
            <w:r w:rsidRPr="004A7EDA">
              <w:rPr>
                <w:lang w:val="en-GB"/>
              </w:rPr>
              <w:t>8</w:t>
            </w:r>
          </w:p>
        </w:tc>
        <w:tc>
          <w:tcPr>
            <w:tcW w:w="1030" w:type="dxa"/>
            <w:shd w:val="clear" w:color="auto" w:fill="auto"/>
            <w:tcMar>
              <w:top w:w="113" w:type="dxa"/>
              <w:left w:w="28" w:type="dxa"/>
              <w:bottom w:w="113" w:type="dxa"/>
              <w:right w:w="28" w:type="dxa"/>
            </w:tcMar>
          </w:tcPr>
          <w:p w14:paraId="1E41BF77" w14:textId="77777777" w:rsidR="004A7EDA" w:rsidRPr="004A7EDA" w:rsidRDefault="004A7EDA" w:rsidP="00286AE3">
            <w:pPr>
              <w:pStyle w:val="TableCopy"/>
              <w:rPr>
                <w:lang w:val="en-GB"/>
              </w:rPr>
            </w:pPr>
            <w:r w:rsidRPr="004A7EDA">
              <w:rPr>
                <w:lang w:val="en-GB"/>
              </w:rPr>
              <w:t>21</w:t>
            </w:r>
          </w:p>
        </w:tc>
        <w:tc>
          <w:tcPr>
            <w:tcW w:w="1393" w:type="dxa"/>
            <w:shd w:val="clear" w:color="auto" w:fill="auto"/>
            <w:tcMar>
              <w:top w:w="113" w:type="dxa"/>
              <w:left w:w="28" w:type="dxa"/>
              <w:bottom w:w="113" w:type="dxa"/>
              <w:right w:w="28" w:type="dxa"/>
            </w:tcMar>
          </w:tcPr>
          <w:p w14:paraId="5B5AEC14" w14:textId="77777777" w:rsidR="004A7EDA" w:rsidRPr="004A7EDA" w:rsidRDefault="004A7EDA" w:rsidP="00286AE3">
            <w:pPr>
              <w:pStyle w:val="TableCopy"/>
              <w:rPr>
                <w:lang w:val="en-GB"/>
              </w:rPr>
            </w:pPr>
            <w:r w:rsidRPr="004A7EDA">
              <w:rPr>
                <w:lang w:val="en-GB"/>
              </w:rPr>
              <w:t>-61.9%</w:t>
            </w:r>
          </w:p>
        </w:tc>
        <w:tc>
          <w:tcPr>
            <w:tcW w:w="1031" w:type="dxa"/>
            <w:shd w:val="clear" w:color="auto" w:fill="auto"/>
            <w:tcMar>
              <w:top w:w="113" w:type="dxa"/>
              <w:left w:w="28" w:type="dxa"/>
              <w:bottom w:w="113" w:type="dxa"/>
              <w:right w:w="28" w:type="dxa"/>
            </w:tcMar>
          </w:tcPr>
          <w:p w14:paraId="4A1FAFC7" w14:textId="65542383" w:rsidR="004A7EDA" w:rsidRPr="004A7EDA" w:rsidRDefault="00120E9E" w:rsidP="00286AE3">
            <w:pPr>
              <w:pStyle w:val="TableCopy"/>
              <w:rPr>
                <w:lang w:val="en-GB"/>
              </w:rPr>
            </w:pPr>
            <w:r>
              <w:rPr>
                <w:lang w:val="en-GB"/>
              </w:rPr>
              <w:t>#</w:t>
            </w:r>
          </w:p>
        </w:tc>
      </w:tr>
      <w:tr w:rsidR="004A7EDA" w:rsidRPr="004A7EDA" w14:paraId="34A8C550" w14:textId="77777777" w:rsidTr="00D50C66">
        <w:trPr>
          <w:trHeight w:val="113"/>
        </w:trPr>
        <w:tc>
          <w:tcPr>
            <w:tcW w:w="10299" w:type="dxa"/>
            <w:gridSpan w:val="6"/>
            <w:shd w:val="clear" w:color="auto" w:fill="auto"/>
            <w:tcMar>
              <w:top w:w="113" w:type="dxa"/>
              <w:left w:w="113" w:type="dxa"/>
              <w:bottom w:w="113" w:type="dxa"/>
              <w:right w:w="113" w:type="dxa"/>
            </w:tcMar>
          </w:tcPr>
          <w:p w14:paraId="79C5CF25" w14:textId="77777777" w:rsidR="004A7EDA" w:rsidRPr="004A7EDA" w:rsidRDefault="004A7EDA" w:rsidP="00286AE3">
            <w:pPr>
              <w:pStyle w:val="TableCopy"/>
            </w:pPr>
            <w:r w:rsidRPr="004A7EDA">
              <w:t xml:space="preserve">Lower result due to the impacts of COVID-19 and associated restrictions resulting in </w:t>
            </w:r>
            <w:proofErr w:type="gramStart"/>
            <w:r w:rsidRPr="004A7EDA">
              <w:t>a number of</w:t>
            </w:r>
            <w:proofErr w:type="gramEnd"/>
            <w:r w:rsidRPr="004A7EDA">
              <w:t xml:space="preserve"> events not proceeding.</w:t>
            </w:r>
          </w:p>
        </w:tc>
      </w:tr>
      <w:tr w:rsidR="004A7EDA" w:rsidRPr="004A7EDA" w14:paraId="1692B9F9" w14:textId="77777777" w:rsidTr="00286AE3">
        <w:trPr>
          <w:trHeight w:val="113"/>
        </w:trPr>
        <w:tc>
          <w:tcPr>
            <w:tcW w:w="4786" w:type="dxa"/>
            <w:shd w:val="clear" w:color="auto" w:fill="auto"/>
            <w:tcMar>
              <w:top w:w="113" w:type="dxa"/>
              <w:left w:w="28" w:type="dxa"/>
              <w:bottom w:w="113" w:type="dxa"/>
              <w:right w:w="28" w:type="dxa"/>
            </w:tcMar>
          </w:tcPr>
          <w:p w14:paraId="49A6661A" w14:textId="77777777" w:rsidR="004A7EDA" w:rsidRPr="004A7EDA" w:rsidRDefault="004A7EDA" w:rsidP="00286AE3">
            <w:pPr>
              <w:pStyle w:val="TableCopy"/>
              <w:rPr>
                <w:lang w:val="en-GB"/>
              </w:rPr>
            </w:pPr>
            <w:r w:rsidRPr="004A7EDA">
              <w:rPr>
                <w:lang w:val="en-GB"/>
              </w:rPr>
              <w:t>Tourism infrastructure projects facilitated</w:t>
            </w:r>
          </w:p>
        </w:tc>
        <w:tc>
          <w:tcPr>
            <w:tcW w:w="1030" w:type="dxa"/>
            <w:shd w:val="clear" w:color="auto" w:fill="auto"/>
            <w:tcMar>
              <w:top w:w="113" w:type="dxa"/>
              <w:left w:w="28" w:type="dxa"/>
              <w:bottom w:w="113" w:type="dxa"/>
              <w:right w:w="28" w:type="dxa"/>
            </w:tcMar>
          </w:tcPr>
          <w:p w14:paraId="0FA7DDB2" w14:textId="77777777" w:rsidR="004A7EDA" w:rsidRPr="004A7EDA" w:rsidRDefault="004A7EDA" w:rsidP="00286AE3">
            <w:pPr>
              <w:pStyle w:val="TableCopy"/>
              <w:rPr>
                <w:lang w:val="en-GB"/>
              </w:rPr>
            </w:pPr>
            <w:r w:rsidRPr="004A7EDA">
              <w:rPr>
                <w:lang w:val="en-GB"/>
              </w:rPr>
              <w:t>number</w:t>
            </w:r>
          </w:p>
        </w:tc>
        <w:tc>
          <w:tcPr>
            <w:tcW w:w="1029" w:type="dxa"/>
            <w:shd w:val="clear" w:color="auto" w:fill="auto"/>
            <w:tcMar>
              <w:top w:w="113" w:type="dxa"/>
              <w:left w:w="28" w:type="dxa"/>
              <w:bottom w:w="113" w:type="dxa"/>
              <w:right w:w="28" w:type="dxa"/>
            </w:tcMar>
          </w:tcPr>
          <w:p w14:paraId="35F0BEDF" w14:textId="77777777" w:rsidR="004A7EDA" w:rsidRPr="004A7EDA" w:rsidRDefault="004A7EDA" w:rsidP="00286AE3">
            <w:pPr>
              <w:pStyle w:val="TableCopy"/>
              <w:rPr>
                <w:lang w:val="en-GB"/>
              </w:rPr>
            </w:pPr>
            <w:r w:rsidRPr="004A7EDA">
              <w:rPr>
                <w:lang w:val="en-GB"/>
              </w:rPr>
              <w:t>32</w:t>
            </w:r>
          </w:p>
        </w:tc>
        <w:tc>
          <w:tcPr>
            <w:tcW w:w="1030" w:type="dxa"/>
            <w:shd w:val="clear" w:color="auto" w:fill="auto"/>
            <w:tcMar>
              <w:top w:w="113" w:type="dxa"/>
              <w:left w:w="28" w:type="dxa"/>
              <w:bottom w:w="113" w:type="dxa"/>
              <w:right w:w="28" w:type="dxa"/>
            </w:tcMar>
          </w:tcPr>
          <w:p w14:paraId="6FD7363E" w14:textId="77777777" w:rsidR="004A7EDA" w:rsidRPr="004A7EDA" w:rsidRDefault="004A7EDA" w:rsidP="00286AE3">
            <w:pPr>
              <w:pStyle w:val="TableCopy"/>
              <w:rPr>
                <w:lang w:val="en-GB"/>
              </w:rPr>
            </w:pPr>
            <w:r w:rsidRPr="004A7EDA">
              <w:rPr>
                <w:lang w:val="en-GB"/>
              </w:rPr>
              <w:t>30</w:t>
            </w:r>
          </w:p>
        </w:tc>
        <w:tc>
          <w:tcPr>
            <w:tcW w:w="1393" w:type="dxa"/>
            <w:shd w:val="clear" w:color="auto" w:fill="auto"/>
            <w:tcMar>
              <w:top w:w="113" w:type="dxa"/>
              <w:left w:w="28" w:type="dxa"/>
              <w:bottom w:w="113" w:type="dxa"/>
              <w:right w:w="28" w:type="dxa"/>
            </w:tcMar>
          </w:tcPr>
          <w:p w14:paraId="2E48E26F" w14:textId="77777777" w:rsidR="004A7EDA" w:rsidRPr="004A7EDA" w:rsidRDefault="004A7EDA" w:rsidP="00286AE3">
            <w:pPr>
              <w:pStyle w:val="TableCopy"/>
              <w:rPr>
                <w:lang w:val="en-GB"/>
              </w:rPr>
            </w:pPr>
            <w:r w:rsidRPr="004A7EDA">
              <w:rPr>
                <w:lang w:val="en-GB"/>
              </w:rPr>
              <w:t>6.7%</w:t>
            </w:r>
          </w:p>
        </w:tc>
        <w:tc>
          <w:tcPr>
            <w:tcW w:w="1031" w:type="dxa"/>
            <w:shd w:val="clear" w:color="auto" w:fill="auto"/>
            <w:tcMar>
              <w:top w:w="113" w:type="dxa"/>
              <w:left w:w="28" w:type="dxa"/>
              <w:bottom w:w="113" w:type="dxa"/>
              <w:right w:w="28" w:type="dxa"/>
            </w:tcMar>
          </w:tcPr>
          <w:p w14:paraId="3D23842E" w14:textId="1415007D" w:rsidR="004A7EDA" w:rsidRPr="004A7EDA" w:rsidRDefault="00120E9E" w:rsidP="00286AE3">
            <w:pPr>
              <w:pStyle w:val="TableCopy"/>
              <w:rPr>
                <w:lang w:val="en-GB"/>
              </w:rPr>
            </w:pPr>
            <w:r>
              <w:rPr>
                <w:lang w:val="en-GB"/>
              </w:rPr>
              <w:t>*</w:t>
            </w:r>
          </w:p>
        </w:tc>
      </w:tr>
      <w:tr w:rsidR="004A7EDA" w:rsidRPr="004A7EDA" w14:paraId="7A42C9C1" w14:textId="77777777" w:rsidTr="00D50C66">
        <w:trPr>
          <w:trHeight w:val="320"/>
        </w:trPr>
        <w:tc>
          <w:tcPr>
            <w:tcW w:w="10299" w:type="dxa"/>
            <w:gridSpan w:val="6"/>
            <w:shd w:val="clear" w:color="auto" w:fill="auto"/>
            <w:tcMar>
              <w:top w:w="113" w:type="dxa"/>
              <w:left w:w="113" w:type="dxa"/>
              <w:bottom w:w="113" w:type="dxa"/>
              <w:right w:w="113" w:type="dxa"/>
            </w:tcMar>
          </w:tcPr>
          <w:p w14:paraId="15F53018" w14:textId="77777777" w:rsidR="004A7EDA" w:rsidRPr="004A7EDA" w:rsidRDefault="004A7EDA" w:rsidP="00286AE3">
            <w:pPr>
              <w:pStyle w:val="TableCopy"/>
            </w:pPr>
            <w:r w:rsidRPr="004A7EDA">
              <w:t xml:space="preserve">Higher result due to two additional tourism flagship projects which were also scoped, </w:t>
            </w:r>
            <w:proofErr w:type="gramStart"/>
            <w:r w:rsidRPr="004A7EDA">
              <w:t>funded</w:t>
            </w:r>
            <w:proofErr w:type="gramEnd"/>
            <w:r w:rsidRPr="004A7EDA">
              <w:t xml:space="preserve"> and commenced in 2020–21. </w:t>
            </w:r>
          </w:p>
        </w:tc>
      </w:tr>
      <w:tr w:rsidR="004A7EDA" w:rsidRPr="004A7EDA" w14:paraId="78E5B910" w14:textId="77777777" w:rsidTr="00286AE3">
        <w:trPr>
          <w:trHeight w:val="113"/>
        </w:trPr>
        <w:tc>
          <w:tcPr>
            <w:tcW w:w="4786" w:type="dxa"/>
            <w:shd w:val="clear" w:color="auto" w:fill="auto"/>
            <w:tcMar>
              <w:top w:w="113" w:type="dxa"/>
              <w:left w:w="28" w:type="dxa"/>
              <w:bottom w:w="113" w:type="dxa"/>
              <w:right w:w="28" w:type="dxa"/>
            </w:tcMar>
          </w:tcPr>
          <w:p w14:paraId="6F42E46D" w14:textId="77777777" w:rsidR="004A7EDA" w:rsidRPr="004A7EDA" w:rsidRDefault="004A7EDA" w:rsidP="00286AE3">
            <w:pPr>
              <w:pStyle w:val="TableCopy"/>
              <w:rPr>
                <w:lang w:val="en-GB"/>
              </w:rPr>
            </w:pPr>
            <w:r w:rsidRPr="004A7EDA">
              <w:rPr>
                <w:lang w:val="en-GB"/>
              </w:rPr>
              <w:t>Visit Victoria’s total engaged digital audience</w:t>
            </w:r>
          </w:p>
        </w:tc>
        <w:tc>
          <w:tcPr>
            <w:tcW w:w="1030" w:type="dxa"/>
            <w:shd w:val="clear" w:color="auto" w:fill="auto"/>
            <w:tcMar>
              <w:top w:w="113" w:type="dxa"/>
              <w:left w:w="28" w:type="dxa"/>
              <w:bottom w:w="113" w:type="dxa"/>
              <w:right w:w="28" w:type="dxa"/>
            </w:tcMar>
          </w:tcPr>
          <w:p w14:paraId="7442186A" w14:textId="77777777" w:rsidR="004A7EDA" w:rsidRPr="004A7EDA" w:rsidRDefault="004A7EDA" w:rsidP="00286AE3">
            <w:pPr>
              <w:pStyle w:val="TableCopy"/>
              <w:rPr>
                <w:lang w:val="en-GB"/>
              </w:rPr>
            </w:pPr>
            <w:r w:rsidRPr="004A7EDA">
              <w:rPr>
                <w:lang w:val="en-GB"/>
              </w:rPr>
              <w:t>number (million)</w:t>
            </w:r>
          </w:p>
        </w:tc>
        <w:tc>
          <w:tcPr>
            <w:tcW w:w="1029" w:type="dxa"/>
            <w:shd w:val="clear" w:color="auto" w:fill="auto"/>
            <w:tcMar>
              <w:top w:w="113" w:type="dxa"/>
              <w:left w:w="28" w:type="dxa"/>
              <w:bottom w:w="113" w:type="dxa"/>
              <w:right w:w="28" w:type="dxa"/>
            </w:tcMar>
          </w:tcPr>
          <w:p w14:paraId="26AF8D3A" w14:textId="77777777" w:rsidR="004A7EDA" w:rsidRPr="004A7EDA" w:rsidRDefault="004A7EDA" w:rsidP="00286AE3">
            <w:pPr>
              <w:pStyle w:val="TableCopy"/>
              <w:rPr>
                <w:lang w:val="en-GB"/>
              </w:rPr>
            </w:pPr>
            <w:r w:rsidRPr="004A7EDA">
              <w:rPr>
                <w:lang w:val="en-GB"/>
              </w:rPr>
              <w:t>5.46</w:t>
            </w:r>
          </w:p>
        </w:tc>
        <w:tc>
          <w:tcPr>
            <w:tcW w:w="1030" w:type="dxa"/>
            <w:shd w:val="clear" w:color="auto" w:fill="auto"/>
            <w:tcMar>
              <w:top w:w="113" w:type="dxa"/>
              <w:left w:w="28" w:type="dxa"/>
              <w:bottom w:w="113" w:type="dxa"/>
              <w:right w:w="28" w:type="dxa"/>
            </w:tcMar>
          </w:tcPr>
          <w:p w14:paraId="37C9A125" w14:textId="77777777" w:rsidR="004A7EDA" w:rsidRPr="004A7EDA" w:rsidRDefault="004A7EDA" w:rsidP="00286AE3">
            <w:pPr>
              <w:pStyle w:val="TableCopy"/>
              <w:rPr>
                <w:lang w:val="en-GB"/>
              </w:rPr>
            </w:pPr>
            <w:r w:rsidRPr="004A7EDA">
              <w:rPr>
                <w:lang w:val="en-GB"/>
              </w:rPr>
              <w:t>5.4</w:t>
            </w:r>
          </w:p>
        </w:tc>
        <w:tc>
          <w:tcPr>
            <w:tcW w:w="1393" w:type="dxa"/>
            <w:shd w:val="clear" w:color="auto" w:fill="auto"/>
            <w:tcMar>
              <w:top w:w="113" w:type="dxa"/>
              <w:left w:w="28" w:type="dxa"/>
              <w:bottom w:w="113" w:type="dxa"/>
              <w:right w:w="28" w:type="dxa"/>
            </w:tcMar>
          </w:tcPr>
          <w:p w14:paraId="4D37CF53" w14:textId="77777777" w:rsidR="004A7EDA" w:rsidRPr="004A7EDA" w:rsidRDefault="004A7EDA" w:rsidP="00286AE3">
            <w:pPr>
              <w:pStyle w:val="TableCopy"/>
              <w:rPr>
                <w:lang w:val="en-GB"/>
              </w:rPr>
            </w:pPr>
            <w:r w:rsidRPr="004A7EDA">
              <w:rPr>
                <w:lang w:val="en-GB"/>
              </w:rPr>
              <w:t>1.1%</w:t>
            </w:r>
          </w:p>
        </w:tc>
        <w:tc>
          <w:tcPr>
            <w:tcW w:w="1031" w:type="dxa"/>
            <w:shd w:val="clear" w:color="auto" w:fill="auto"/>
            <w:tcMar>
              <w:top w:w="113" w:type="dxa"/>
              <w:left w:w="28" w:type="dxa"/>
              <w:bottom w:w="113" w:type="dxa"/>
              <w:right w:w="28" w:type="dxa"/>
            </w:tcMar>
          </w:tcPr>
          <w:p w14:paraId="7119768B" w14:textId="64093C0B" w:rsidR="004A7EDA" w:rsidRPr="004A7EDA" w:rsidRDefault="00120E9E" w:rsidP="00286AE3">
            <w:pPr>
              <w:pStyle w:val="TableCopy"/>
              <w:rPr>
                <w:lang w:val="en-GB"/>
              </w:rPr>
            </w:pPr>
            <w:r>
              <w:rPr>
                <w:lang w:val="en-GB"/>
              </w:rPr>
              <w:t>*</w:t>
            </w:r>
          </w:p>
        </w:tc>
      </w:tr>
      <w:tr w:rsidR="004A7EDA" w:rsidRPr="004A7EDA" w14:paraId="4E4E2A5A" w14:textId="77777777" w:rsidTr="00286AE3">
        <w:trPr>
          <w:trHeight w:val="113"/>
        </w:trPr>
        <w:tc>
          <w:tcPr>
            <w:tcW w:w="4786" w:type="dxa"/>
            <w:shd w:val="clear" w:color="auto" w:fill="auto"/>
            <w:tcMar>
              <w:top w:w="113" w:type="dxa"/>
              <w:left w:w="28" w:type="dxa"/>
              <w:bottom w:w="113" w:type="dxa"/>
              <w:right w:w="28" w:type="dxa"/>
            </w:tcMar>
          </w:tcPr>
          <w:p w14:paraId="1FF9A3B5" w14:textId="77777777" w:rsidR="004A7EDA" w:rsidRPr="004A7EDA" w:rsidRDefault="004A7EDA" w:rsidP="00286AE3">
            <w:pPr>
              <w:pStyle w:val="TableCopy"/>
              <w:rPr>
                <w:lang w:val="en-GB"/>
              </w:rPr>
            </w:pPr>
            <w:r w:rsidRPr="004A7EDA">
              <w:rPr>
                <w:lang w:val="en-GB"/>
              </w:rPr>
              <w:t>Visitor expenditure: domestic</w:t>
            </w:r>
          </w:p>
        </w:tc>
        <w:tc>
          <w:tcPr>
            <w:tcW w:w="1030" w:type="dxa"/>
            <w:shd w:val="clear" w:color="auto" w:fill="auto"/>
            <w:tcMar>
              <w:top w:w="113" w:type="dxa"/>
              <w:left w:w="28" w:type="dxa"/>
              <w:bottom w:w="113" w:type="dxa"/>
              <w:right w:w="28" w:type="dxa"/>
            </w:tcMar>
          </w:tcPr>
          <w:p w14:paraId="470A2B33" w14:textId="77777777" w:rsidR="004A7EDA" w:rsidRPr="004A7EDA" w:rsidRDefault="004A7EDA" w:rsidP="00286AE3">
            <w:pPr>
              <w:pStyle w:val="TableCopy"/>
              <w:rPr>
                <w:lang w:val="en-GB"/>
              </w:rPr>
            </w:pPr>
            <w:r w:rsidRPr="004A7EDA">
              <w:rPr>
                <w:lang w:val="en-GB"/>
              </w:rPr>
              <w:t>$ billion</w:t>
            </w:r>
          </w:p>
        </w:tc>
        <w:tc>
          <w:tcPr>
            <w:tcW w:w="1029" w:type="dxa"/>
            <w:shd w:val="clear" w:color="auto" w:fill="auto"/>
            <w:tcMar>
              <w:top w:w="113" w:type="dxa"/>
              <w:left w:w="28" w:type="dxa"/>
              <w:bottom w:w="113" w:type="dxa"/>
              <w:right w:w="28" w:type="dxa"/>
            </w:tcMar>
          </w:tcPr>
          <w:p w14:paraId="6C281233" w14:textId="77777777" w:rsidR="004A7EDA" w:rsidRPr="004A7EDA" w:rsidRDefault="004A7EDA" w:rsidP="00286AE3">
            <w:pPr>
              <w:pStyle w:val="TableCopy"/>
              <w:rPr>
                <w:lang w:val="en-GB"/>
              </w:rPr>
            </w:pPr>
            <w:r w:rsidRPr="004A7EDA">
              <w:rPr>
                <w:lang w:val="en-GB"/>
              </w:rPr>
              <w:t>9.7</w:t>
            </w:r>
          </w:p>
        </w:tc>
        <w:tc>
          <w:tcPr>
            <w:tcW w:w="1030" w:type="dxa"/>
            <w:shd w:val="clear" w:color="auto" w:fill="auto"/>
            <w:tcMar>
              <w:top w:w="113" w:type="dxa"/>
              <w:left w:w="28" w:type="dxa"/>
              <w:bottom w:w="113" w:type="dxa"/>
              <w:right w:w="28" w:type="dxa"/>
            </w:tcMar>
          </w:tcPr>
          <w:p w14:paraId="584F2417" w14:textId="77777777" w:rsidR="004A7EDA" w:rsidRPr="004A7EDA" w:rsidRDefault="004A7EDA" w:rsidP="00286AE3">
            <w:pPr>
              <w:pStyle w:val="TableCopy"/>
              <w:rPr>
                <w:lang w:val="en-GB"/>
              </w:rPr>
            </w:pPr>
            <w:r w:rsidRPr="004A7EDA">
              <w:rPr>
                <w:lang w:val="en-GB"/>
              </w:rPr>
              <w:t>23.2</w:t>
            </w:r>
          </w:p>
        </w:tc>
        <w:tc>
          <w:tcPr>
            <w:tcW w:w="1393" w:type="dxa"/>
            <w:shd w:val="clear" w:color="auto" w:fill="auto"/>
            <w:tcMar>
              <w:top w:w="113" w:type="dxa"/>
              <w:left w:w="28" w:type="dxa"/>
              <w:bottom w:w="113" w:type="dxa"/>
              <w:right w:w="28" w:type="dxa"/>
            </w:tcMar>
          </w:tcPr>
          <w:p w14:paraId="6F28600B" w14:textId="77777777" w:rsidR="004A7EDA" w:rsidRPr="004A7EDA" w:rsidRDefault="004A7EDA" w:rsidP="00286AE3">
            <w:pPr>
              <w:pStyle w:val="TableCopy"/>
              <w:rPr>
                <w:lang w:val="en-GB"/>
              </w:rPr>
            </w:pPr>
            <w:r w:rsidRPr="004A7EDA">
              <w:rPr>
                <w:lang w:val="en-GB"/>
              </w:rPr>
              <w:t>-58.2%</w:t>
            </w:r>
          </w:p>
        </w:tc>
        <w:tc>
          <w:tcPr>
            <w:tcW w:w="1031" w:type="dxa"/>
            <w:shd w:val="clear" w:color="auto" w:fill="auto"/>
            <w:tcMar>
              <w:top w:w="113" w:type="dxa"/>
              <w:left w:w="28" w:type="dxa"/>
              <w:bottom w:w="113" w:type="dxa"/>
              <w:right w:w="28" w:type="dxa"/>
            </w:tcMar>
          </w:tcPr>
          <w:p w14:paraId="7AF97017" w14:textId="37FF3518" w:rsidR="004A7EDA" w:rsidRPr="004A7EDA" w:rsidRDefault="00120E9E" w:rsidP="00286AE3">
            <w:pPr>
              <w:pStyle w:val="TableCopy"/>
              <w:rPr>
                <w:lang w:val="en-GB"/>
              </w:rPr>
            </w:pPr>
            <w:r>
              <w:rPr>
                <w:lang w:val="en-GB"/>
              </w:rPr>
              <w:t>#</w:t>
            </w:r>
          </w:p>
        </w:tc>
      </w:tr>
      <w:tr w:rsidR="004A7EDA" w:rsidRPr="004A7EDA" w14:paraId="610026A6" w14:textId="77777777" w:rsidTr="00D50C66">
        <w:trPr>
          <w:trHeight w:val="113"/>
        </w:trPr>
        <w:tc>
          <w:tcPr>
            <w:tcW w:w="10299" w:type="dxa"/>
            <w:gridSpan w:val="6"/>
            <w:shd w:val="clear" w:color="auto" w:fill="auto"/>
            <w:tcMar>
              <w:top w:w="113" w:type="dxa"/>
              <w:left w:w="113" w:type="dxa"/>
              <w:bottom w:w="113" w:type="dxa"/>
              <w:right w:w="113" w:type="dxa"/>
            </w:tcMar>
          </w:tcPr>
          <w:p w14:paraId="27BB8C3F" w14:textId="77777777" w:rsidR="004A7EDA" w:rsidRPr="004A7EDA" w:rsidRDefault="004A7EDA" w:rsidP="00286AE3">
            <w:pPr>
              <w:pStyle w:val="TableCopy"/>
            </w:pPr>
            <w:r w:rsidRPr="004A7EDA">
              <w:t>Lower result predominantly due to the impact of COVID-19, and the legacy impacts of the 2020 summer bushfires in Victoria. This is the latest available data for the year ending March 2021 from the National Visitor Survey (published by Tourism Research Australia, 30 June 2021).</w:t>
            </w:r>
          </w:p>
        </w:tc>
      </w:tr>
      <w:tr w:rsidR="004A7EDA" w:rsidRPr="004A7EDA" w14:paraId="1366C765" w14:textId="77777777" w:rsidTr="00286AE3">
        <w:trPr>
          <w:trHeight w:val="113"/>
        </w:trPr>
        <w:tc>
          <w:tcPr>
            <w:tcW w:w="4786" w:type="dxa"/>
            <w:shd w:val="clear" w:color="auto" w:fill="auto"/>
            <w:tcMar>
              <w:top w:w="113" w:type="dxa"/>
              <w:left w:w="28" w:type="dxa"/>
              <w:bottom w:w="113" w:type="dxa"/>
              <w:right w:w="28" w:type="dxa"/>
            </w:tcMar>
          </w:tcPr>
          <w:p w14:paraId="5DD79F5F" w14:textId="77777777" w:rsidR="004A7EDA" w:rsidRPr="004A7EDA" w:rsidRDefault="004A7EDA" w:rsidP="00286AE3">
            <w:pPr>
              <w:pStyle w:val="TableCopy"/>
              <w:rPr>
                <w:lang w:val="en-GB"/>
              </w:rPr>
            </w:pPr>
            <w:r w:rsidRPr="004A7EDA">
              <w:rPr>
                <w:lang w:val="en-GB"/>
              </w:rPr>
              <w:t>Visitor expenditure: international</w:t>
            </w:r>
          </w:p>
        </w:tc>
        <w:tc>
          <w:tcPr>
            <w:tcW w:w="1030" w:type="dxa"/>
            <w:shd w:val="clear" w:color="auto" w:fill="auto"/>
            <w:tcMar>
              <w:top w:w="113" w:type="dxa"/>
              <w:left w:w="28" w:type="dxa"/>
              <w:bottom w:w="113" w:type="dxa"/>
              <w:right w:w="28" w:type="dxa"/>
            </w:tcMar>
          </w:tcPr>
          <w:p w14:paraId="3409DD06" w14:textId="77777777" w:rsidR="004A7EDA" w:rsidRPr="004A7EDA" w:rsidRDefault="004A7EDA" w:rsidP="00286AE3">
            <w:pPr>
              <w:pStyle w:val="TableCopy"/>
              <w:rPr>
                <w:lang w:val="en-GB"/>
              </w:rPr>
            </w:pPr>
            <w:r w:rsidRPr="004A7EDA">
              <w:rPr>
                <w:lang w:val="en-GB"/>
              </w:rPr>
              <w:t>$ billion</w:t>
            </w:r>
          </w:p>
        </w:tc>
        <w:tc>
          <w:tcPr>
            <w:tcW w:w="1029" w:type="dxa"/>
            <w:shd w:val="clear" w:color="auto" w:fill="auto"/>
            <w:tcMar>
              <w:top w:w="113" w:type="dxa"/>
              <w:left w:w="28" w:type="dxa"/>
              <w:bottom w:w="113" w:type="dxa"/>
              <w:right w:w="28" w:type="dxa"/>
            </w:tcMar>
          </w:tcPr>
          <w:p w14:paraId="7970FD07" w14:textId="77777777" w:rsidR="004A7EDA" w:rsidRPr="004A7EDA" w:rsidRDefault="004A7EDA" w:rsidP="00286AE3">
            <w:pPr>
              <w:pStyle w:val="TableCopy"/>
              <w:rPr>
                <w:lang w:val="en-GB"/>
              </w:rPr>
            </w:pPr>
            <w:r w:rsidRPr="004A7EDA">
              <w:rPr>
                <w:lang w:val="en-GB"/>
              </w:rPr>
              <w:t>0.08</w:t>
            </w:r>
          </w:p>
        </w:tc>
        <w:tc>
          <w:tcPr>
            <w:tcW w:w="1030" w:type="dxa"/>
            <w:shd w:val="clear" w:color="auto" w:fill="auto"/>
            <w:tcMar>
              <w:top w:w="113" w:type="dxa"/>
              <w:left w:w="28" w:type="dxa"/>
              <w:bottom w:w="113" w:type="dxa"/>
              <w:right w:w="28" w:type="dxa"/>
            </w:tcMar>
          </w:tcPr>
          <w:p w14:paraId="7EA7EB2D" w14:textId="77777777" w:rsidR="004A7EDA" w:rsidRPr="004A7EDA" w:rsidRDefault="004A7EDA" w:rsidP="00286AE3">
            <w:pPr>
              <w:pStyle w:val="TableCopy"/>
              <w:rPr>
                <w:lang w:val="en-GB"/>
              </w:rPr>
            </w:pPr>
            <w:r w:rsidRPr="004A7EDA">
              <w:rPr>
                <w:lang w:val="en-GB"/>
              </w:rPr>
              <w:t>9</w:t>
            </w:r>
          </w:p>
        </w:tc>
        <w:tc>
          <w:tcPr>
            <w:tcW w:w="1393" w:type="dxa"/>
            <w:shd w:val="clear" w:color="auto" w:fill="auto"/>
            <w:tcMar>
              <w:top w:w="113" w:type="dxa"/>
              <w:left w:w="28" w:type="dxa"/>
              <w:bottom w:w="113" w:type="dxa"/>
              <w:right w:w="28" w:type="dxa"/>
            </w:tcMar>
          </w:tcPr>
          <w:p w14:paraId="0AF62472" w14:textId="77777777" w:rsidR="004A7EDA" w:rsidRPr="004A7EDA" w:rsidRDefault="004A7EDA" w:rsidP="00286AE3">
            <w:pPr>
              <w:pStyle w:val="TableCopy"/>
              <w:rPr>
                <w:lang w:val="en-GB"/>
              </w:rPr>
            </w:pPr>
            <w:r w:rsidRPr="004A7EDA">
              <w:rPr>
                <w:lang w:val="en-GB"/>
              </w:rPr>
              <w:t>-99.1%</w:t>
            </w:r>
          </w:p>
        </w:tc>
        <w:tc>
          <w:tcPr>
            <w:tcW w:w="1031" w:type="dxa"/>
            <w:shd w:val="clear" w:color="auto" w:fill="auto"/>
            <w:tcMar>
              <w:top w:w="113" w:type="dxa"/>
              <w:left w:w="28" w:type="dxa"/>
              <w:bottom w:w="113" w:type="dxa"/>
              <w:right w:w="28" w:type="dxa"/>
            </w:tcMar>
          </w:tcPr>
          <w:p w14:paraId="1FE0F013" w14:textId="4D192BAA" w:rsidR="004A7EDA" w:rsidRPr="004A7EDA" w:rsidRDefault="00120E9E" w:rsidP="00286AE3">
            <w:pPr>
              <w:pStyle w:val="TableCopy"/>
              <w:rPr>
                <w:lang w:val="en-GB"/>
              </w:rPr>
            </w:pPr>
            <w:r>
              <w:rPr>
                <w:lang w:val="en-GB"/>
              </w:rPr>
              <w:t>#</w:t>
            </w:r>
          </w:p>
        </w:tc>
      </w:tr>
      <w:tr w:rsidR="004A7EDA" w:rsidRPr="004A7EDA" w14:paraId="2E5FDFF6" w14:textId="77777777" w:rsidTr="00D50C66">
        <w:trPr>
          <w:trHeight w:val="113"/>
        </w:trPr>
        <w:tc>
          <w:tcPr>
            <w:tcW w:w="10299" w:type="dxa"/>
            <w:gridSpan w:val="6"/>
            <w:shd w:val="clear" w:color="auto" w:fill="auto"/>
            <w:tcMar>
              <w:top w:w="113" w:type="dxa"/>
              <w:left w:w="113" w:type="dxa"/>
              <w:bottom w:w="113" w:type="dxa"/>
              <w:right w:w="113" w:type="dxa"/>
            </w:tcMar>
          </w:tcPr>
          <w:p w14:paraId="68FC33E6" w14:textId="5BE93D7C" w:rsidR="004A7EDA" w:rsidRPr="004A7EDA" w:rsidRDefault="004A7EDA" w:rsidP="00286AE3">
            <w:pPr>
              <w:pStyle w:val="TableCopy"/>
            </w:pPr>
            <w:r w:rsidRPr="004A7EDA">
              <w:t>Lower result due to the impact of COVID-19 and associated travel restrictions on international travel. This is the latest available data</w:t>
            </w:r>
            <w:r w:rsidR="00120E9E">
              <w:t xml:space="preserve"> </w:t>
            </w:r>
            <w:r w:rsidRPr="004A7EDA">
              <w:t>for the year ending March 2021 from the International Visitor Survey (published by Tourism Research Australia, 30 June 2021).</w:t>
            </w:r>
          </w:p>
        </w:tc>
      </w:tr>
      <w:tr w:rsidR="004A7EDA" w:rsidRPr="004A7EDA" w14:paraId="3B8FA234" w14:textId="77777777" w:rsidTr="00286AE3">
        <w:trPr>
          <w:trHeight w:val="113"/>
        </w:trPr>
        <w:tc>
          <w:tcPr>
            <w:tcW w:w="4786" w:type="dxa"/>
            <w:shd w:val="clear" w:color="auto" w:fill="auto"/>
            <w:tcMar>
              <w:top w:w="113" w:type="dxa"/>
              <w:left w:w="28" w:type="dxa"/>
              <w:bottom w:w="113" w:type="dxa"/>
              <w:right w:w="28" w:type="dxa"/>
            </w:tcMar>
          </w:tcPr>
          <w:p w14:paraId="2F1FBF4D" w14:textId="77777777" w:rsidR="004A7EDA" w:rsidRPr="004A7EDA" w:rsidRDefault="004A7EDA" w:rsidP="00286AE3">
            <w:pPr>
              <w:pStyle w:val="TableCopy"/>
              <w:rPr>
                <w:lang w:val="en-GB"/>
              </w:rPr>
            </w:pPr>
            <w:r w:rsidRPr="004A7EDA">
              <w:rPr>
                <w:lang w:val="en-GB"/>
              </w:rPr>
              <w:t>Visitor expenditure: regional Victoria (domestic)</w:t>
            </w:r>
          </w:p>
        </w:tc>
        <w:tc>
          <w:tcPr>
            <w:tcW w:w="1030" w:type="dxa"/>
            <w:shd w:val="clear" w:color="auto" w:fill="auto"/>
            <w:tcMar>
              <w:top w:w="113" w:type="dxa"/>
              <w:left w:w="28" w:type="dxa"/>
              <w:bottom w:w="113" w:type="dxa"/>
              <w:right w:w="28" w:type="dxa"/>
            </w:tcMar>
          </w:tcPr>
          <w:p w14:paraId="6FFACC21" w14:textId="77777777" w:rsidR="004A7EDA" w:rsidRPr="004A7EDA" w:rsidRDefault="004A7EDA" w:rsidP="00286AE3">
            <w:pPr>
              <w:pStyle w:val="TableCopy"/>
              <w:rPr>
                <w:lang w:val="en-GB"/>
              </w:rPr>
            </w:pPr>
            <w:r w:rsidRPr="004A7EDA">
              <w:rPr>
                <w:lang w:val="en-GB"/>
              </w:rPr>
              <w:t>$ billion</w:t>
            </w:r>
          </w:p>
        </w:tc>
        <w:tc>
          <w:tcPr>
            <w:tcW w:w="1029" w:type="dxa"/>
            <w:shd w:val="clear" w:color="auto" w:fill="auto"/>
            <w:tcMar>
              <w:top w:w="113" w:type="dxa"/>
              <w:left w:w="28" w:type="dxa"/>
              <w:bottom w:w="113" w:type="dxa"/>
              <w:right w:w="28" w:type="dxa"/>
            </w:tcMar>
          </w:tcPr>
          <w:p w14:paraId="0376020E" w14:textId="77777777" w:rsidR="004A7EDA" w:rsidRPr="004A7EDA" w:rsidRDefault="004A7EDA" w:rsidP="00286AE3">
            <w:pPr>
              <w:pStyle w:val="TableCopy"/>
              <w:rPr>
                <w:lang w:val="en-GB"/>
              </w:rPr>
            </w:pPr>
            <w:r w:rsidRPr="004A7EDA">
              <w:rPr>
                <w:lang w:val="en-GB"/>
              </w:rPr>
              <w:t>7.0</w:t>
            </w:r>
          </w:p>
        </w:tc>
        <w:tc>
          <w:tcPr>
            <w:tcW w:w="1030" w:type="dxa"/>
            <w:shd w:val="clear" w:color="auto" w:fill="auto"/>
            <w:tcMar>
              <w:top w:w="113" w:type="dxa"/>
              <w:left w:w="28" w:type="dxa"/>
              <w:bottom w:w="113" w:type="dxa"/>
              <w:right w:w="28" w:type="dxa"/>
            </w:tcMar>
          </w:tcPr>
          <w:p w14:paraId="6139947F" w14:textId="77777777" w:rsidR="004A7EDA" w:rsidRPr="004A7EDA" w:rsidRDefault="004A7EDA" w:rsidP="00286AE3">
            <w:pPr>
              <w:pStyle w:val="TableCopy"/>
              <w:rPr>
                <w:lang w:val="en-GB"/>
              </w:rPr>
            </w:pPr>
            <w:r w:rsidRPr="004A7EDA">
              <w:rPr>
                <w:lang w:val="en-GB"/>
              </w:rPr>
              <w:t>11.1</w:t>
            </w:r>
          </w:p>
        </w:tc>
        <w:tc>
          <w:tcPr>
            <w:tcW w:w="1393" w:type="dxa"/>
            <w:shd w:val="clear" w:color="auto" w:fill="auto"/>
            <w:tcMar>
              <w:top w:w="113" w:type="dxa"/>
              <w:left w:w="28" w:type="dxa"/>
              <w:bottom w:w="113" w:type="dxa"/>
              <w:right w:w="28" w:type="dxa"/>
            </w:tcMar>
          </w:tcPr>
          <w:p w14:paraId="7902BBED" w14:textId="77777777" w:rsidR="004A7EDA" w:rsidRPr="004A7EDA" w:rsidRDefault="004A7EDA" w:rsidP="00286AE3">
            <w:pPr>
              <w:pStyle w:val="TableCopy"/>
              <w:rPr>
                <w:lang w:val="en-GB"/>
              </w:rPr>
            </w:pPr>
            <w:r w:rsidRPr="004A7EDA">
              <w:rPr>
                <w:lang w:val="en-GB"/>
              </w:rPr>
              <w:t>-36.9%</w:t>
            </w:r>
          </w:p>
        </w:tc>
        <w:tc>
          <w:tcPr>
            <w:tcW w:w="1031" w:type="dxa"/>
            <w:shd w:val="clear" w:color="auto" w:fill="auto"/>
            <w:tcMar>
              <w:top w:w="113" w:type="dxa"/>
              <w:left w:w="28" w:type="dxa"/>
              <w:bottom w:w="113" w:type="dxa"/>
              <w:right w:w="28" w:type="dxa"/>
            </w:tcMar>
          </w:tcPr>
          <w:p w14:paraId="78F07399" w14:textId="0051030B" w:rsidR="004A7EDA" w:rsidRPr="004A7EDA" w:rsidRDefault="00120E9E" w:rsidP="00286AE3">
            <w:pPr>
              <w:pStyle w:val="TableCopy"/>
              <w:rPr>
                <w:lang w:val="en-GB"/>
              </w:rPr>
            </w:pPr>
            <w:r>
              <w:rPr>
                <w:lang w:val="en-GB"/>
              </w:rPr>
              <w:t>#</w:t>
            </w:r>
          </w:p>
        </w:tc>
      </w:tr>
      <w:tr w:rsidR="004A7EDA" w:rsidRPr="004A7EDA" w14:paraId="2CE52EAE" w14:textId="77777777" w:rsidTr="00D50C66">
        <w:trPr>
          <w:trHeight w:val="113"/>
        </w:trPr>
        <w:tc>
          <w:tcPr>
            <w:tcW w:w="10299" w:type="dxa"/>
            <w:gridSpan w:val="6"/>
            <w:shd w:val="clear" w:color="auto" w:fill="auto"/>
            <w:tcMar>
              <w:top w:w="113" w:type="dxa"/>
              <w:left w:w="113" w:type="dxa"/>
              <w:bottom w:w="113" w:type="dxa"/>
              <w:right w:w="113" w:type="dxa"/>
            </w:tcMar>
          </w:tcPr>
          <w:p w14:paraId="104E74D8" w14:textId="77777777" w:rsidR="004A7EDA" w:rsidRPr="004A7EDA" w:rsidRDefault="004A7EDA" w:rsidP="00286AE3">
            <w:pPr>
              <w:pStyle w:val="TableCopy"/>
            </w:pPr>
            <w:r w:rsidRPr="004A7EDA">
              <w:t>Lower result predominantly due to the impact of COVID-19, and the legacy impacts of the 2020 summer bushfires in Victoria. This is the latest available data for the year ending March 2021 from the National Visitor Survey (published by Tourism Research Australia, 30 June 2021).</w:t>
            </w:r>
          </w:p>
        </w:tc>
      </w:tr>
      <w:tr w:rsidR="004A7EDA" w:rsidRPr="004A7EDA" w14:paraId="11BF12FF" w14:textId="77777777" w:rsidTr="00286AE3">
        <w:trPr>
          <w:trHeight w:val="113"/>
        </w:trPr>
        <w:tc>
          <w:tcPr>
            <w:tcW w:w="4786" w:type="dxa"/>
            <w:shd w:val="clear" w:color="auto" w:fill="auto"/>
            <w:tcMar>
              <w:top w:w="113" w:type="dxa"/>
              <w:left w:w="28" w:type="dxa"/>
              <w:bottom w:w="113" w:type="dxa"/>
              <w:right w:w="28" w:type="dxa"/>
            </w:tcMar>
          </w:tcPr>
          <w:p w14:paraId="6F3C8321" w14:textId="77777777" w:rsidR="004A7EDA" w:rsidRPr="004A7EDA" w:rsidRDefault="004A7EDA" w:rsidP="00286AE3">
            <w:pPr>
              <w:pStyle w:val="TableCopy"/>
              <w:rPr>
                <w:lang w:val="en-GB"/>
              </w:rPr>
            </w:pPr>
            <w:r w:rsidRPr="004A7EDA">
              <w:rPr>
                <w:lang w:val="en-GB"/>
              </w:rPr>
              <w:t>Visitor expenditure: regional Victoria (international)</w:t>
            </w:r>
          </w:p>
        </w:tc>
        <w:tc>
          <w:tcPr>
            <w:tcW w:w="1030" w:type="dxa"/>
            <w:shd w:val="clear" w:color="auto" w:fill="auto"/>
            <w:tcMar>
              <w:top w:w="113" w:type="dxa"/>
              <w:left w:w="28" w:type="dxa"/>
              <w:bottom w:w="113" w:type="dxa"/>
              <w:right w:w="28" w:type="dxa"/>
            </w:tcMar>
          </w:tcPr>
          <w:p w14:paraId="7F7F727C" w14:textId="77777777" w:rsidR="004A7EDA" w:rsidRPr="004A7EDA" w:rsidRDefault="004A7EDA" w:rsidP="00286AE3">
            <w:pPr>
              <w:pStyle w:val="TableCopy"/>
              <w:rPr>
                <w:lang w:val="en-GB"/>
              </w:rPr>
            </w:pPr>
            <w:r w:rsidRPr="004A7EDA">
              <w:rPr>
                <w:lang w:val="en-GB"/>
              </w:rPr>
              <w:t>$ million</w:t>
            </w:r>
          </w:p>
        </w:tc>
        <w:tc>
          <w:tcPr>
            <w:tcW w:w="1029" w:type="dxa"/>
            <w:shd w:val="clear" w:color="auto" w:fill="auto"/>
            <w:tcMar>
              <w:top w:w="113" w:type="dxa"/>
              <w:left w:w="28" w:type="dxa"/>
              <w:bottom w:w="113" w:type="dxa"/>
              <w:right w:w="28" w:type="dxa"/>
            </w:tcMar>
          </w:tcPr>
          <w:p w14:paraId="5757F5A8" w14:textId="77777777" w:rsidR="004A7EDA" w:rsidRPr="004A7EDA" w:rsidRDefault="004A7EDA" w:rsidP="00286AE3">
            <w:pPr>
              <w:pStyle w:val="TableCopy"/>
              <w:rPr>
                <w:lang w:val="en-GB"/>
              </w:rPr>
            </w:pPr>
            <w:r w:rsidRPr="004A7EDA">
              <w:rPr>
                <w:lang w:val="en-GB"/>
              </w:rPr>
              <w:t>n/a</w:t>
            </w:r>
          </w:p>
        </w:tc>
        <w:tc>
          <w:tcPr>
            <w:tcW w:w="1030" w:type="dxa"/>
            <w:shd w:val="clear" w:color="auto" w:fill="auto"/>
            <w:tcMar>
              <w:top w:w="113" w:type="dxa"/>
              <w:left w:w="28" w:type="dxa"/>
              <w:bottom w:w="113" w:type="dxa"/>
              <w:right w:w="28" w:type="dxa"/>
            </w:tcMar>
          </w:tcPr>
          <w:p w14:paraId="64781C8C" w14:textId="77777777" w:rsidR="004A7EDA" w:rsidRPr="004A7EDA" w:rsidRDefault="004A7EDA" w:rsidP="00286AE3">
            <w:pPr>
              <w:pStyle w:val="TableCopy"/>
              <w:rPr>
                <w:lang w:val="en-GB"/>
              </w:rPr>
            </w:pPr>
            <w:r w:rsidRPr="004A7EDA">
              <w:rPr>
                <w:lang w:val="en-GB"/>
              </w:rPr>
              <w:t>600</w:t>
            </w:r>
          </w:p>
        </w:tc>
        <w:tc>
          <w:tcPr>
            <w:tcW w:w="1393" w:type="dxa"/>
            <w:shd w:val="clear" w:color="auto" w:fill="auto"/>
            <w:tcMar>
              <w:top w:w="113" w:type="dxa"/>
              <w:left w:w="28" w:type="dxa"/>
              <w:bottom w:w="113" w:type="dxa"/>
              <w:right w:w="28" w:type="dxa"/>
            </w:tcMar>
          </w:tcPr>
          <w:p w14:paraId="6EEC23FD" w14:textId="77777777" w:rsidR="004A7EDA" w:rsidRPr="004A7EDA" w:rsidRDefault="004A7EDA" w:rsidP="00286AE3">
            <w:pPr>
              <w:pStyle w:val="TableCopy"/>
              <w:rPr>
                <w:lang w:val="en-GB"/>
              </w:rPr>
            </w:pPr>
            <w:r w:rsidRPr="004A7EDA">
              <w:rPr>
                <w:lang w:val="en-GB"/>
              </w:rPr>
              <w:t>n/a</w:t>
            </w:r>
          </w:p>
        </w:tc>
        <w:tc>
          <w:tcPr>
            <w:tcW w:w="1031" w:type="dxa"/>
            <w:shd w:val="clear" w:color="auto" w:fill="auto"/>
            <w:tcMar>
              <w:top w:w="113" w:type="dxa"/>
              <w:left w:w="28" w:type="dxa"/>
              <w:bottom w:w="113" w:type="dxa"/>
              <w:right w:w="28" w:type="dxa"/>
            </w:tcMar>
          </w:tcPr>
          <w:p w14:paraId="742D87C9" w14:textId="5DF8B123" w:rsidR="004A7EDA" w:rsidRPr="004A7EDA" w:rsidRDefault="00120E9E" w:rsidP="00286AE3">
            <w:pPr>
              <w:pStyle w:val="TableCopy"/>
              <w:rPr>
                <w:lang w:val="en-GB"/>
              </w:rPr>
            </w:pPr>
            <w:r>
              <w:rPr>
                <w:lang w:val="en-GB"/>
              </w:rPr>
              <w:t>#</w:t>
            </w:r>
          </w:p>
        </w:tc>
      </w:tr>
      <w:tr w:rsidR="004A7EDA" w:rsidRPr="004A7EDA" w14:paraId="7B5E6E64" w14:textId="77777777" w:rsidTr="00D50C66">
        <w:trPr>
          <w:trHeight w:val="113"/>
        </w:trPr>
        <w:tc>
          <w:tcPr>
            <w:tcW w:w="10299" w:type="dxa"/>
            <w:gridSpan w:val="6"/>
            <w:shd w:val="clear" w:color="auto" w:fill="auto"/>
            <w:tcMar>
              <w:top w:w="113" w:type="dxa"/>
              <w:left w:w="113" w:type="dxa"/>
              <w:bottom w:w="113" w:type="dxa"/>
              <w:right w:w="113" w:type="dxa"/>
            </w:tcMar>
          </w:tcPr>
          <w:p w14:paraId="6A48868B" w14:textId="77777777" w:rsidR="004A7EDA" w:rsidRPr="004A7EDA" w:rsidRDefault="004A7EDA" w:rsidP="00286AE3">
            <w:pPr>
              <w:pStyle w:val="TableCopy"/>
            </w:pPr>
            <w:r w:rsidRPr="004A7EDA">
              <w:t xml:space="preserve">Due to international border closures and the cessation of survey interviewing for the International Visitor Survey, international visitor data is currently limited to state-wide results and no regional estimates are available for the year ending March 2021 (latest available data). </w:t>
            </w:r>
          </w:p>
        </w:tc>
      </w:tr>
      <w:tr w:rsidR="004A7EDA" w:rsidRPr="004A7EDA" w14:paraId="00F52F35" w14:textId="77777777" w:rsidTr="00286AE3">
        <w:trPr>
          <w:trHeight w:val="113"/>
        </w:trPr>
        <w:tc>
          <w:tcPr>
            <w:tcW w:w="4786" w:type="dxa"/>
            <w:shd w:val="clear" w:color="auto" w:fill="auto"/>
            <w:tcMar>
              <w:top w:w="113" w:type="dxa"/>
              <w:left w:w="28" w:type="dxa"/>
              <w:bottom w:w="113" w:type="dxa"/>
              <w:right w:w="28" w:type="dxa"/>
            </w:tcMar>
          </w:tcPr>
          <w:p w14:paraId="70BDE1BE" w14:textId="77777777" w:rsidR="004A7EDA" w:rsidRPr="004A7EDA" w:rsidRDefault="004A7EDA" w:rsidP="00286AE3">
            <w:pPr>
              <w:pStyle w:val="TableCopy"/>
              <w:rPr>
                <w:lang w:val="en-GB"/>
              </w:rPr>
            </w:pPr>
            <w:r w:rsidRPr="004A7EDA">
              <w:rPr>
                <w:lang w:val="en-GB"/>
              </w:rPr>
              <w:lastRenderedPageBreak/>
              <w:t>Visitor expenditure: regional Victoria</w:t>
            </w:r>
            <w:r w:rsidRPr="004A7EDA">
              <w:rPr>
                <w:lang w:val="en-GB"/>
              </w:rPr>
              <w:br/>
              <w:t>(intrastate overnight)</w:t>
            </w:r>
          </w:p>
        </w:tc>
        <w:tc>
          <w:tcPr>
            <w:tcW w:w="1030" w:type="dxa"/>
            <w:shd w:val="clear" w:color="auto" w:fill="auto"/>
            <w:tcMar>
              <w:top w:w="113" w:type="dxa"/>
              <w:left w:w="28" w:type="dxa"/>
              <w:bottom w:w="113" w:type="dxa"/>
              <w:right w:w="28" w:type="dxa"/>
            </w:tcMar>
          </w:tcPr>
          <w:p w14:paraId="3F8A3A1F" w14:textId="77777777" w:rsidR="004A7EDA" w:rsidRPr="004A7EDA" w:rsidRDefault="004A7EDA" w:rsidP="00286AE3">
            <w:pPr>
              <w:pStyle w:val="TableCopy"/>
              <w:rPr>
                <w:lang w:val="en-GB"/>
              </w:rPr>
            </w:pPr>
            <w:r w:rsidRPr="004A7EDA">
              <w:rPr>
                <w:lang w:val="en-GB"/>
              </w:rPr>
              <w:t>$ billion</w:t>
            </w:r>
          </w:p>
        </w:tc>
        <w:tc>
          <w:tcPr>
            <w:tcW w:w="1029" w:type="dxa"/>
            <w:shd w:val="clear" w:color="auto" w:fill="auto"/>
            <w:tcMar>
              <w:top w:w="113" w:type="dxa"/>
              <w:left w:w="28" w:type="dxa"/>
              <w:bottom w:w="113" w:type="dxa"/>
              <w:right w:w="28" w:type="dxa"/>
            </w:tcMar>
          </w:tcPr>
          <w:p w14:paraId="34E49A18" w14:textId="77777777" w:rsidR="004A7EDA" w:rsidRPr="004A7EDA" w:rsidRDefault="004A7EDA" w:rsidP="00286AE3">
            <w:pPr>
              <w:pStyle w:val="TableCopy"/>
              <w:rPr>
                <w:lang w:val="en-GB"/>
              </w:rPr>
            </w:pPr>
            <w:r w:rsidRPr="004A7EDA">
              <w:rPr>
                <w:lang w:val="en-GB"/>
              </w:rPr>
              <w:t>4.5</w:t>
            </w:r>
          </w:p>
        </w:tc>
        <w:tc>
          <w:tcPr>
            <w:tcW w:w="1030" w:type="dxa"/>
            <w:shd w:val="clear" w:color="auto" w:fill="auto"/>
            <w:tcMar>
              <w:top w:w="113" w:type="dxa"/>
              <w:left w:w="28" w:type="dxa"/>
              <w:bottom w:w="113" w:type="dxa"/>
              <w:right w:w="28" w:type="dxa"/>
            </w:tcMar>
          </w:tcPr>
          <w:p w14:paraId="40F85499" w14:textId="77777777" w:rsidR="004A7EDA" w:rsidRPr="004A7EDA" w:rsidRDefault="004A7EDA" w:rsidP="00286AE3">
            <w:pPr>
              <w:pStyle w:val="TableCopy"/>
              <w:rPr>
                <w:lang w:val="en-GB"/>
              </w:rPr>
            </w:pPr>
            <w:r w:rsidRPr="004A7EDA">
              <w:rPr>
                <w:lang w:val="en-GB"/>
              </w:rPr>
              <w:t>5.7</w:t>
            </w:r>
          </w:p>
        </w:tc>
        <w:tc>
          <w:tcPr>
            <w:tcW w:w="1393" w:type="dxa"/>
            <w:shd w:val="clear" w:color="auto" w:fill="auto"/>
            <w:tcMar>
              <w:top w:w="113" w:type="dxa"/>
              <w:left w:w="28" w:type="dxa"/>
              <w:bottom w:w="113" w:type="dxa"/>
              <w:right w:w="28" w:type="dxa"/>
            </w:tcMar>
          </w:tcPr>
          <w:p w14:paraId="11D24F2C" w14:textId="77777777" w:rsidR="004A7EDA" w:rsidRPr="004A7EDA" w:rsidRDefault="004A7EDA" w:rsidP="00286AE3">
            <w:pPr>
              <w:pStyle w:val="TableCopy"/>
              <w:rPr>
                <w:lang w:val="en-GB"/>
              </w:rPr>
            </w:pPr>
            <w:r w:rsidRPr="004A7EDA">
              <w:rPr>
                <w:lang w:val="en-GB"/>
              </w:rPr>
              <w:t>-21.1%</w:t>
            </w:r>
          </w:p>
        </w:tc>
        <w:tc>
          <w:tcPr>
            <w:tcW w:w="1031" w:type="dxa"/>
            <w:shd w:val="clear" w:color="auto" w:fill="auto"/>
            <w:tcMar>
              <w:top w:w="113" w:type="dxa"/>
              <w:left w:w="28" w:type="dxa"/>
              <w:bottom w:w="113" w:type="dxa"/>
              <w:right w:w="28" w:type="dxa"/>
            </w:tcMar>
          </w:tcPr>
          <w:p w14:paraId="4C33F971" w14:textId="1237AA22" w:rsidR="004A7EDA" w:rsidRPr="004A7EDA" w:rsidRDefault="00120E9E" w:rsidP="00286AE3">
            <w:pPr>
              <w:pStyle w:val="TableCopy"/>
              <w:rPr>
                <w:lang w:val="en-GB"/>
              </w:rPr>
            </w:pPr>
            <w:r>
              <w:rPr>
                <w:lang w:val="en-GB"/>
              </w:rPr>
              <w:t>#</w:t>
            </w:r>
          </w:p>
        </w:tc>
      </w:tr>
      <w:tr w:rsidR="004A7EDA" w:rsidRPr="004A7EDA" w14:paraId="58466652" w14:textId="77777777" w:rsidTr="00D50C66">
        <w:trPr>
          <w:trHeight w:val="113"/>
        </w:trPr>
        <w:tc>
          <w:tcPr>
            <w:tcW w:w="10299" w:type="dxa"/>
            <w:gridSpan w:val="6"/>
            <w:shd w:val="clear" w:color="auto" w:fill="auto"/>
            <w:tcMar>
              <w:top w:w="113" w:type="dxa"/>
              <w:left w:w="113" w:type="dxa"/>
              <w:bottom w:w="113" w:type="dxa"/>
              <w:right w:w="113" w:type="dxa"/>
            </w:tcMar>
          </w:tcPr>
          <w:p w14:paraId="5920BED9" w14:textId="77777777" w:rsidR="004A7EDA" w:rsidRPr="004A7EDA" w:rsidRDefault="004A7EDA" w:rsidP="00286AE3">
            <w:pPr>
              <w:pStyle w:val="TableCopy"/>
            </w:pPr>
            <w:r w:rsidRPr="004A7EDA">
              <w:t>Lower result predominantly due to the impact of COVID-19, and the legacy impacts of the 2020 summer bushfires in Victoria. This is the latest available data for the year ending March 2021 from the National Visitor Survey (published by Tourism Research Australia, 30 June 2021).</w:t>
            </w:r>
          </w:p>
        </w:tc>
      </w:tr>
      <w:tr w:rsidR="004A7EDA" w:rsidRPr="004A7EDA" w14:paraId="35873775" w14:textId="77777777" w:rsidTr="00286AE3">
        <w:trPr>
          <w:trHeight w:val="113"/>
        </w:trPr>
        <w:tc>
          <w:tcPr>
            <w:tcW w:w="4786" w:type="dxa"/>
            <w:shd w:val="clear" w:color="auto" w:fill="auto"/>
            <w:tcMar>
              <w:top w:w="113" w:type="dxa"/>
              <w:left w:w="28" w:type="dxa"/>
              <w:bottom w:w="113" w:type="dxa"/>
              <w:right w:w="28" w:type="dxa"/>
            </w:tcMar>
          </w:tcPr>
          <w:p w14:paraId="1FD034C7" w14:textId="77777777" w:rsidR="004A7EDA" w:rsidRPr="004A7EDA" w:rsidRDefault="004A7EDA" w:rsidP="00286AE3">
            <w:pPr>
              <w:pStyle w:val="TableCopy"/>
              <w:rPr>
                <w:lang w:val="en-GB"/>
              </w:rPr>
            </w:pPr>
            <w:r w:rsidRPr="004A7EDA">
              <w:rPr>
                <w:lang w:val="en-GB"/>
              </w:rPr>
              <w:t>Visitors (domestic overnight)</w:t>
            </w:r>
          </w:p>
        </w:tc>
        <w:tc>
          <w:tcPr>
            <w:tcW w:w="1030" w:type="dxa"/>
            <w:shd w:val="clear" w:color="auto" w:fill="auto"/>
            <w:tcMar>
              <w:top w:w="113" w:type="dxa"/>
              <w:left w:w="28" w:type="dxa"/>
              <w:bottom w:w="113" w:type="dxa"/>
              <w:right w:w="28" w:type="dxa"/>
            </w:tcMar>
          </w:tcPr>
          <w:p w14:paraId="118579BB" w14:textId="77777777" w:rsidR="004A7EDA" w:rsidRPr="004A7EDA" w:rsidRDefault="004A7EDA" w:rsidP="00286AE3">
            <w:pPr>
              <w:pStyle w:val="TableCopy"/>
              <w:rPr>
                <w:lang w:val="en-GB"/>
              </w:rPr>
            </w:pPr>
            <w:r w:rsidRPr="004A7EDA">
              <w:rPr>
                <w:lang w:val="en-GB"/>
              </w:rPr>
              <w:t>number (million)</w:t>
            </w:r>
          </w:p>
        </w:tc>
        <w:tc>
          <w:tcPr>
            <w:tcW w:w="1029" w:type="dxa"/>
            <w:shd w:val="clear" w:color="auto" w:fill="auto"/>
            <w:tcMar>
              <w:top w:w="113" w:type="dxa"/>
              <w:left w:w="28" w:type="dxa"/>
              <w:bottom w:w="113" w:type="dxa"/>
              <w:right w:w="28" w:type="dxa"/>
            </w:tcMar>
          </w:tcPr>
          <w:p w14:paraId="489BC0B1" w14:textId="77777777" w:rsidR="004A7EDA" w:rsidRPr="004A7EDA" w:rsidRDefault="004A7EDA" w:rsidP="00286AE3">
            <w:pPr>
              <w:pStyle w:val="TableCopy"/>
              <w:rPr>
                <w:lang w:val="en-GB"/>
              </w:rPr>
            </w:pPr>
            <w:r w:rsidRPr="004A7EDA">
              <w:rPr>
                <w:lang w:val="en-GB"/>
              </w:rPr>
              <w:t>13.4</w:t>
            </w:r>
          </w:p>
        </w:tc>
        <w:tc>
          <w:tcPr>
            <w:tcW w:w="1030" w:type="dxa"/>
            <w:shd w:val="clear" w:color="auto" w:fill="auto"/>
            <w:tcMar>
              <w:top w:w="113" w:type="dxa"/>
              <w:left w:w="28" w:type="dxa"/>
              <w:bottom w:w="113" w:type="dxa"/>
              <w:right w:w="28" w:type="dxa"/>
            </w:tcMar>
          </w:tcPr>
          <w:p w14:paraId="1A3C2443" w14:textId="77777777" w:rsidR="004A7EDA" w:rsidRPr="004A7EDA" w:rsidRDefault="004A7EDA" w:rsidP="00286AE3">
            <w:pPr>
              <w:pStyle w:val="TableCopy"/>
              <w:rPr>
                <w:lang w:val="en-GB"/>
              </w:rPr>
            </w:pPr>
            <w:r w:rsidRPr="004A7EDA">
              <w:rPr>
                <w:lang w:val="en-GB"/>
              </w:rPr>
              <w:t>29.5</w:t>
            </w:r>
          </w:p>
        </w:tc>
        <w:tc>
          <w:tcPr>
            <w:tcW w:w="1393" w:type="dxa"/>
            <w:shd w:val="clear" w:color="auto" w:fill="auto"/>
            <w:tcMar>
              <w:top w:w="113" w:type="dxa"/>
              <w:left w:w="28" w:type="dxa"/>
              <w:bottom w:w="113" w:type="dxa"/>
              <w:right w:w="28" w:type="dxa"/>
            </w:tcMar>
          </w:tcPr>
          <w:p w14:paraId="1047EFA4" w14:textId="77777777" w:rsidR="004A7EDA" w:rsidRPr="004A7EDA" w:rsidRDefault="004A7EDA" w:rsidP="00286AE3">
            <w:pPr>
              <w:pStyle w:val="TableCopy"/>
              <w:rPr>
                <w:lang w:val="en-GB"/>
              </w:rPr>
            </w:pPr>
            <w:r w:rsidRPr="004A7EDA">
              <w:rPr>
                <w:lang w:val="en-GB"/>
              </w:rPr>
              <w:t>-54.6%</w:t>
            </w:r>
          </w:p>
        </w:tc>
        <w:tc>
          <w:tcPr>
            <w:tcW w:w="1031" w:type="dxa"/>
            <w:shd w:val="clear" w:color="auto" w:fill="auto"/>
            <w:tcMar>
              <w:top w:w="113" w:type="dxa"/>
              <w:left w:w="28" w:type="dxa"/>
              <w:bottom w:w="113" w:type="dxa"/>
              <w:right w:w="28" w:type="dxa"/>
            </w:tcMar>
          </w:tcPr>
          <w:p w14:paraId="32C11D21" w14:textId="504C7793" w:rsidR="004A7EDA" w:rsidRPr="004A7EDA" w:rsidRDefault="00120E9E" w:rsidP="00286AE3">
            <w:pPr>
              <w:pStyle w:val="TableCopy"/>
              <w:rPr>
                <w:lang w:val="en-GB"/>
              </w:rPr>
            </w:pPr>
            <w:r>
              <w:rPr>
                <w:lang w:val="en-GB"/>
              </w:rPr>
              <w:t>#</w:t>
            </w:r>
          </w:p>
        </w:tc>
      </w:tr>
      <w:tr w:rsidR="004A7EDA" w:rsidRPr="004A7EDA" w14:paraId="59108630" w14:textId="77777777" w:rsidTr="00D50C66">
        <w:trPr>
          <w:trHeight w:val="113"/>
        </w:trPr>
        <w:tc>
          <w:tcPr>
            <w:tcW w:w="10299" w:type="dxa"/>
            <w:gridSpan w:val="6"/>
            <w:shd w:val="clear" w:color="auto" w:fill="auto"/>
            <w:tcMar>
              <w:top w:w="113" w:type="dxa"/>
              <w:left w:w="113" w:type="dxa"/>
              <w:bottom w:w="113" w:type="dxa"/>
              <w:right w:w="113" w:type="dxa"/>
            </w:tcMar>
          </w:tcPr>
          <w:p w14:paraId="1F674D63" w14:textId="77777777" w:rsidR="004A7EDA" w:rsidRPr="004A7EDA" w:rsidRDefault="004A7EDA" w:rsidP="00286AE3">
            <w:pPr>
              <w:pStyle w:val="TableCopy"/>
            </w:pPr>
            <w:r w:rsidRPr="004A7EDA">
              <w:t>Lower result predominantly due to the impact of COVID-19, and the legacy impacts of the 2020 summer bushfires in Victoria. This is the latest available data for the year ending March 2021 from the National Visitor Survey (published by Tourism Research Australia, 30 June 2021).</w:t>
            </w:r>
          </w:p>
        </w:tc>
      </w:tr>
      <w:tr w:rsidR="004A7EDA" w:rsidRPr="004A7EDA" w14:paraId="2961EFB9" w14:textId="77777777" w:rsidTr="00286AE3">
        <w:trPr>
          <w:trHeight w:val="113"/>
        </w:trPr>
        <w:tc>
          <w:tcPr>
            <w:tcW w:w="4786" w:type="dxa"/>
            <w:shd w:val="clear" w:color="auto" w:fill="auto"/>
            <w:tcMar>
              <w:top w:w="113" w:type="dxa"/>
              <w:left w:w="28" w:type="dxa"/>
              <w:bottom w:w="113" w:type="dxa"/>
              <w:right w:w="28" w:type="dxa"/>
            </w:tcMar>
          </w:tcPr>
          <w:p w14:paraId="69F8B441" w14:textId="77777777" w:rsidR="004A7EDA" w:rsidRPr="004A7EDA" w:rsidRDefault="004A7EDA" w:rsidP="00286AE3">
            <w:pPr>
              <w:pStyle w:val="TableCopy"/>
              <w:rPr>
                <w:lang w:val="en-GB"/>
              </w:rPr>
            </w:pPr>
            <w:r w:rsidRPr="004A7EDA">
              <w:rPr>
                <w:lang w:val="en-GB"/>
              </w:rPr>
              <w:t>Visitors (international)</w:t>
            </w:r>
          </w:p>
        </w:tc>
        <w:tc>
          <w:tcPr>
            <w:tcW w:w="1030" w:type="dxa"/>
            <w:shd w:val="clear" w:color="auto" w:fill="auto"/>
            <w:tcMar>
              <w:top w:w="113" w:type="dxa"/>
              <w:left w:w="28" w:type="dxa"/>
              <w:bottom w:w="113" w:type="dxa"/>
              <w:right w:w="28" w:type="dxa"/>
            </w:tcMar>
          </w:tcPr>
          <w:p w14:paraId="05281322" w14:textId="77777777" w:rsidR="004A7EDA" w:rsidRPr="004A7EDA" w:rsidRDefault="004A7EDA" w:rsidP="00286AE3">
            <w:pPr>
              <w:pStyle w:val="TableCopy"/>
              <w:rPr>
                <w:lang w:val="en-GB"/>
              </w:rPr>
            </w:pPr>
            <w:r w:rsidRPr="004A7EDA">
              <w:rPr>
                <w:lang w:val="en-GB"/>
              </w:rPr>
              <w:t>number (million)</w:t>
            </w:r>
          </w:p>
        </w:tc>
        <w:tc>
          <w:tcPr>
            <w:tcW w:w="1029" w:type="dxa"/>
            <w:shd w:val="clear" w:color="auto" w:fill="auto"/>
            <w:tcMar>
              <w:top w:w="113" w:type="dxa"/>
              <w:left w:w="28" w:type="dxa"/>
              <w:bottom w:w="113" w:type="dxa"/>
              <w:right w:w="28" w:type="dxa"/>
            </w:tcMar>
          </w:tcPr>
          <w:p w14:paraId="6D72B9F1" w14:textId="77777777" w:rsidR="004A7EDA" w:rsidRPr="004A7EDA" w:rsidRDefault="004A7EDA" w:rsidP="00286AE3">
            <w:pPr>
              <w:pStyle w:val="TableCopy"/>
              <w:rPr>
                <w:lang w:val="en-GB"/>
              </w:rPr>
            </w:pPr>
            <w:r w:rsidRPr="004A7EDA">
              <w:rPr>
                <w:lang w:val="en-GB"/>
              </w:rPr>
              <w:t>0.01</w:t>
            </w:r>
          </w:p>
        </w:tc>
        <w:tc>
          <w:tcPr>
            <w:tcW w:w="1030" w:type="dxa"/>
            <w:shd w:val="clear" w:color="auto" w:fill="auto"/>
            <w:tcMar>
              <w:top w:w="113" w:type="dxa"/>
              <w:left w:w="28" w:type="dxa"/>
              <w:bottom w:w="113" w:type="dxa"/>
              <w:right w:w="28" w:type="dxa"/>
            </w:tcMar>
          </w:tcPr>
          <w:p w14:paraId="65545466" w14:textId="77777777" w:rsidR="004A7EDA" w:rsidRPr="004A7EDA" w:rsidRDefault="004A7EDA" w:rsidP="00286AE3">
            <w:pPr>
              <w:pStyle w:val="TableCopy"/>
              <w:rPr>
                <w:lang w:val="en-GB"/>
              </w:rPr>
            </w:pPr>
            <w:r w:rsidRPr="004A7EDA">
              <w:rPr>
                <w:lang w:val="en-GB"/>
              </w:rPr>
              <w:t>3.2</w:t>
            </w:r>
          </w:p>
        </w:tc>
        <w:tc>
          <w:tcPr>
            <w:tcW w:w="1393" w:type="dxa"/>
            <w:shd w:val="clear" w:color="auto" w:fill="auto"/>
            <w:tcMar>
              <w:top w:w="113" w:type="dxa"/>
              <w:left w:w="28" w:type="dxa"/>
              <w:bottom w:w="113" w:type="dxa"/>
              <w:right w:w="28" w:type="dxa"/>
            </w:tcMar>
          </w:tcPr>
          <w:p w14:paraId="6F36C503" w14:textId="77777777" w:rsidR="004A7EDA" w:rsidRPr="004A7EDA" w:rsidRDefault="004A7EDA" w:rsidP="00286AE3">
            <w:pPr>
              <w:pStyle w:val="TableCopy"/>
              <w:rPr>
                <w:lang w:val="en-GB"/>
              </w:rPr>
            </w:pPr>
            <w:r w:rsidRPr="004A7EDA">
              <w:rPr>
                <w:lang w:val="en-GB"/>
              </w:rPr>
              <w:t>-99.7%</w:t>
            </w:r>
          </w:p>
        </w:tc>
        <w:tc>
          <w:tcPr>
            <w:tcW w:w="1031" w:type="dxa"/>
            <w:shd w:val="clear" w:color="auto" w:fill="auto"/>
            <w:tcMar>
              <w:top w:w="113" w:type="dxa"/>
              <w:left w:w="28" w:type="dxa"/>
              <w:bottom w:w="113" w:type="dxa"/>
              <w:right w:w="28" w:type="dxa"/>
            </w:tcMar>
          </w:tcPr>
          <w:p w14:paraId="2330FCE0" w14:textId="702B643D" w:rsidR="004A7EDA" w:rsidRPr="004A7EDA" w:rsidRDefault="00120E9E" w:rsidP="00286AE3">
            <w:pPr>
              <w:pStyle w:val="TableCopy"/>
              <w:rPr>
                <w:lang w:val="en-GB"/>
              </w:rPr>
            </w:pPr>
            <w:r>
              <w:rPr>
                <w:lang w:val="en-GB"/>
              </w:rPr>
              <w:t>#</w:t>
            </w:r>
          </w:p>
        </w:tc>
      </w:tr>
      <w:tr w:rsidR="004A7EDA" w:rsidRPr="004A7EDA" w14:paraId="18CAE4FE" w14:textId="77777777" w:rsidTr="00D50C66">
        <w:trPr>
          <w:trHeight w:val="113"/>
        </w:trPr>
        <w:tc>
          <w:tcPr>
            <w:tcW w:w="10299" w:type="dxa"/>
            <w:gridSpan w:val="6"/>
            <w:shd w:val="clear" w:color="auto" w:fill="auto"/>
            <w:tcMar>
              <w:top w:w="113" w:type="dxa"/>
              <w:left w:w="113" w:type="dxa"/>
              <w:bottom w:w="113" w:type="dxa"/>
              <w:right w:w="113" w:type="dxa"/>
            </w:tcMar>
          </w:tcPr>
          <w:p w14:paraId="2D365796" w14:textId="77777777" w:rsidR="004A7EDA" w:rsidRPr="004A7EDA" w:rsidRDefault="004A7EDA" w:rsidP="00286AE3">
            <w:pPr>
              <w:pStyle w:val="TableCopy"/>
            </w:pPr>
            <w:r w:rsidRPr="004A7EDA">
              <w:t>Lower result due to the impact of COVID-19 and associated travel restrictions on international travel. This is the latest available data</w:t>
            </w:r>
            <w:r w:rsidRPr="004A7EDA">
              <w:br/>
              <w:t>for the year ending March 2021 from the International Visitor Survey (published by Tourism Research Australia, 30 June 2021).</w:t>
            </w:r>
          </w:p>
        </w:tc>
      </w:tr>
      <w:tr w:rsidR="004A7EDA" w:rsidRPr="004A7EDA" w14:paraId="537DD2FD" w14:textId="77777777" w:rsidTr="00286AE3">
        <w:trPr>
          <w:trHeight w:val="113"/>
        </w:trPr>
        <w:tc>
          <w:tcPr>
            <w:tcW w:w="4786" w:type="dxa"/>
            <w:shd w:val="clear" w:color="auto" w:fill="auto"/>
            <w:tcMar>
              <w:top w:w="113" w:type="dxa"/>
              <w:left w:w="28" w:type="dxa"/>
              <w:bottom w:w="113" w:type="dxa"/>
              <w:right w:w="28" w:type="dxa"/>
            </w:tcMar>
          </w:tcPr>
          <w:p w14:paraId="3ABFB366" w14:textId="77777777" w:rsidR="004A7EDA" w:rsidRPr="004A7EDA" w:rsidRDefault="004A7EDA" w:rsidP="00286AE3">
            <w:pPr>
              <w:pStyle w:val="TableCopy"/>
              <w:rPr>
                <w:lang w:val="en-GB"/>
              </w:rPr>
            </w:pPr>
            <w:r w:rsidRPr="004A7EDA">
              <w:rPr>
                <w:lang w:val="en-GB"/>
              </w:rPr>
              <w:t>Visitors: regional Victoria (intrastate overnight)</w:t>
            </w:r>
          </w:p>
        </w:tc>
        <w:tc>
          <w:tcPr>
            <w:tcW w:w="1030" w:type="dxa"/>
            <w:shd w:val="clear" w:color="auto" w:fill="auto"/>
            <w:tcMar>
              <w:top w:w="113" w:type="dxa"/>
              <w:left w:w="28" w:type="dxa"/>
              <w:bottom w:w="113" w:type="dxa"/>
              <w:right w:w="28" w:type="dxa"/>
            </w:tcMar>
          </w:tcPr>
          <w:p w14:paraId="675222B3" w14:textId="77777777" w:rsidR="004A7EDA" w:rsidRPr="004A7EDA" w:rsidRDefault="004A7EDA" w:rsidP="00286AE3">
            <w:pPr>
              <w:pStyle w:val="TableCopy"/>
              <w:rPr>
                <w:lang w:val="en-GB"/>
              </w:rPr>
            </w:pPr>
            <w:r w:rsidRPr="004A7EDA">
              <w:rPr>
                <w:lang w:val="en-GB"/>
              </w:rPr>
              <w:t>number (million)</w:t>
            </w:r>
          </w:p>
        </w:tc>
        <w:tc>
          <w:tcPr>
            <w:tcW w:w="1029" w:type="dxa"/>
            <w:shd w:val="clear" w:color="auto" w:fill="auto"/>
            <w:tcMar>
              <w:top w:w="113" w:type="dxa"/>
              <w:left w:w="28" w:type="dxa"/>
              <w:bottom w:w="113" w:type="dxa"/>
              <w:right w:w="28" w:type="dxa"/>
            </w:tcMar>
          </w:tcPr>
          <w:p w14:paraId="550A1447" w14:textId="77777777" w:rsidR="004A7EDA" w:rsidRPr="004A7EDA" w:rsidRDefault="004A7EDA" w:rsidP="00286AE3">
            <w:pPr>
              <w:pStyle w:val="TableCopy"/>
              <w:rPr>
                <w:lang w:val="en-GB"/>
              </w:rPr>
            </w:pPr>
            <w:r w:rsidRPr="004A7EDA">
              <w:rPr>
                <w:lang w:val="en-GB"/>
              </w:rPr>
              <w:t>10.3</w:t>
            </w:r>
          </w:p>
        </w:tc>
        <w:tc>
          <w:tcPr>
            <w:tcW w:w="1030" w:type="dxa"/>
            <w:shd w:val="clear" w:color="auto" w:fill="auto"/>
            <w:tcMar>
              <w:top w:w="113" w:type="dxa"/>
              <w:left w:w="28" w:type="dxa"/>
              <w:bottom w:w="113" w:type="dxa"/>
              <w:right w:w="28" w:type="dxa"/>
            </w:tcMar>
          </w:tcPr>
          <w:p w14:paraId="7EB8CD2B" w14:textId="77777777" w:rsidR="004A7EDA" w:rsidRPr="004A7EDA" w:rsidRDefault="004A7EDA" w:rsidP="00286AE3">
            <w:pPr>
              <w:pStyle w:val="TableCopy"/>
              <w:rPr>
                <w:lang w:val="en-GB"/>
              </w:rPr>
            </w:pPr>
            <w:r w:rsidRPr="004A7EDA">
              <w:rPr>
                <w:lang w:val="en-GB"/>
              </w:rPr>
              <w:t>16.4</w:t>
            </w:r>
          </w:p>
        </w:tc>
        <w:tc>
          <w:tcPr>
            <w:tcW w:w="1393" w:type="dxa"/>
            <w:shd w:val="clear" w:color="auto" w:fill="auto"/>
            <w:tcMar>
              <w:top w:w="113" w:type="dxa"/>
              <w:left w:w="28" w:type="dxa"/>
              <w:bottom w:w="113" w:type="dxa"/>
              <w:right w:w="28" w:type="dxa"/>
            </w:tcMar>
          </w:tcPr>
          <w:p w14:paraId="12A3E19C" w14:textId="77777777" w:rsidR="004A7EDA" w:rsidRPr="004A7EDA" w:rsidRDefault="004A7EDA" w:rsidP="00286AE3">
            <w:pPr>
              <w:pStyle w:val="TableCopy"/>
              <w:rPr>
                <w:lang w:val="en-GB"/>
              </w:rPr>
            </w:pPr>
            <w:r w:rsidRPr="004A7EDA">
              <w:rPr>
                <w:lang w:val="en-GB"/>
              </w:rPr>
              <w:t>-37.2%</w:t>
            </w:r>
          </w:p>
        </w:tc>
        <w:tc>
          <w:tcPr>
            <w:tcW w:w="1031" w:type="dxa"/>
            <w:shd w:val="clear" w:color="auto" w:fill="auto"/>
            <w:tcMar>
              <w:top w:w="113" w:type="dxa"/>
              <w:left w:w="28" w:type="dxa"/>
              <w:bottom w:w="113" w:type="dxa"/>
              <w:right w:w="28" w:type="dxa"/>
            </w:tcMar>
          </w:tcPr>
          <w:p w14:paraId="3412E23B" w14:textId="731B5141" w:rsidR="004A7EDA" w:rsidRPr="004A7EDA" w:rsidRDefault="00120E9E" w:rsidP="00286AE3">
            <w:pPr>
              <w:pStyle w:val="TableCopy"/>
              <w:rPr>
                <w:lang w:val="en-GB"/>
              </w:rPr>
            </w:pPr>
            <w:r>
              <w:rPr>
                <w:lang w:val="en-GB"/>
              </w:rPr>
              <w:t>#</w:t>
            </w:r>
          </w:p>
        </w:tc>
      </w:tr>
      <w:tr w:rsidR="004A7EDA" w:rsidRPr="004A7EDA" w14:paraId="283A6F93" w14:textId="77777777" w:rsidTr="00D50C66">
        <w:trPr>
          <w:trHeight w:val="113"/>
        </w:trPr>
        <w:tc>
          <w:tcPr>
            <w:tcW w:w="10299" w:type="dxa"/>
            <w:gridSpan w:val="6"/>
            <w:shd w:val="clear" w:color="auto" w:fill="auto"/>
            <w:tcMar>
              <w:top w:w="113" w:type="dxa"/>
              <w:left w:w="113" w:type="dxa"/>
              <w:bottom w:w="113" w:type="dxa"/>
              <w:right w:w="113" w:type="dxa"/>
            </w:tcMar>
          </w:tcPr>
          <w:p w14:paraId="1D1420C9" w14:textId="77777777" w:rsidR="004A7EDA" w:rsidRPr="004A7EDA" w:rsidRDefault="004A7EDA" w:rsidP="00286AE3">
            <w:pPr>
              <w:pStyle w:val="TableCopy"/>
            </w:pPr>
            <w:r w:rsidRPr="004A7EDA">
              <w:t>Lower result predominantly due to the impact of COVID-19, and the legacy impacts of the 2020 summer bushfires in Victoria. This is the latest available data for the year ending March 2021 from the National Visitor Survey (published by Tourism Research Australia, 30 June 2021).</w:t>
            </w:r>
          </w:p>
        </w:tc>
      </w:tr>
      <w:tr w:rsidR="004A7EDA" w:rsidRPr="004A7EDA" w14:paraId="2D4713DB" w14:textId="77777777" w:rsidTr="00D50C66">
        <w:trPr>
          <w:trHeight w:val="113"/>
        </w:trPr>
        <w:tc>
          <w:tcPr>
            <w:tcW w:w="10299" w:type="dxa"/>
            <w:gridSpan w:val="6"/>
            <w:shd w:val="clear" w:color="auto" w:fill="auto"/>
            <w:tcMar>
              <w:top w:w="113" w:type="dxa"/>
              <w:left w:w="28" w:type="dxa"/>
              <w:bottom w:w="113" w:type="dxa"/>
              <w:right w:w="28" w:type="dxa"/>
            </w:tcMar>
          </w:tcPr>
          <w:p w14:paraId="64D728DA" w14:textId="77777777" w:rsidR="004A7EDA" w:rsidRPr="004A7EDA" w:rsidRDefault="004A7EDA" w:rsidP="00286AE3">
            <w:pPr>
              <w:pStyle w:val="TableCopy"/>
              <w:rPr>
                <w:lang w:val="en-GB"/>
              </w:rPr>
            </w:pPr>
            <w:r w:rsidRPr="004A7EDA">
              <w:rPr>
                <w:lang w:val="en-GB"/>
              </w:rPr>
              <w:t>Quality</w:t>
            </w:r>
          </w:p>
        </w:tc>
      </w:tr>
      <w:tr w:rsidR="004A7EDA" w:rsidRPr="004A7EDA" w14:paraId="2528CE5A" w14:textId="77777777" w:rsidTr="00286AE3">
        <w:trPr>
          <w:trHeight w:val="113"/>
        </w:trPr>
        <w:tc>
          <w:tcPr>
            <w:tcW w:w="4786" w:type="dxa"/>
            <w:shd w:val="clear" w:color="auto" w:fill="auto"/>
            <w:tcMar>
              <w:top w:w="113" w:type="dxa"/>
              <w:left w:w="28" w:type="dxa"/>
              <w:bottom w:w="113" w:type="dxa"/>
              <w:right w:w="28" w:type="dxa"/>
            </w:tcMar>
          </w:tcPr>
          <w:p w14:paraId="1AD1782D" w14:textId="77777777" w:rsidR="004A7EDA" w:rsidRPr="004A7EDA" w:rsidRDefault="004A7EDA" w:rsidP="00286AE3">
            <w:pPr>
              <w:pStyle w:val="TableCopy"/>
              <w:rPr>
                <w:lang w:val="en-GB"/>
              </w:rPr>
            </w:pPr>
            <w:r w:rsidRPr="004A7EDA">
              <w:rPr>
                <w:lang w:val="en-GB"/>
              </w:rPr>
              <w:t>Value of media coverage generated: domestic</w:t>
            </w:r>
          </w:p>
        </w:tc>
        <w:tc>
          <w:tcPr>
            <w:tcW w:w="1030" w:type="dxa"/>
            <w:shd w:val="clear" w:color="auto" w:fill="auto"/>
            <w:tcMar>
              <w:top w:w="113" w:type="dxa"/>
              <w:left w:w="28" w:type="dxa"/>
              <w:bottom w:w="113" w:type="dxa"/>
              <w:right w:w="28" w:type="dxa"/>
            </w:tcMar>
          </w:tcPr>
          <w:p w14:paraId="70FC11FD" w14:textId="77777777" w:rsidR="004A7EDA" w:rsidRPr="004A7EDA" w:rsidRDefault="004A7EDA" w:rsidP="00286AE3">
            <w:pPr>
              <w:pStyle w:val="TableCopy"/>
              <w:rPr>
                <w:lang w:val="en-GB"/>
              </w:rPr>
            </w:pPr>
            <w:r w:rsidRPr="004A7EDA">
              <w:rPr>
                <w:lang w:val="en-GB"/>
              </w:rPr>
              <w:t>$ million</w:t>
            </w:r>
          </w:p>
        </w:tc>
        <w:tc>
          <w:tcPr>
            <w:tcW w:w="1029" w:type="dxa"/>
            <w:shd w:val="clear" w:color="auto" w:fill="auto"/>
            <w:tcMar>
              <w:top w:w="113" w:type="dxa"/>
              <w:left w:w="28" w:type="dxa"/>
              <w:bottom w:w="113" w:type="dxa"/>
              <w:right w:w="28" w:type="dxa"/>
            </w:tcMar>
          </w:tcPr>
          <w:p w14:paraId="114B073B" w14:textId="77777777" w:rsidR="004A7EDA" w:rsidRPr="004A7EDA" w:rsidRDefault="004A7EDA" w:rsidP="00286AE3">
            <w:pPr>
              <w:pStyle w:val="TableCopy"/>
              <w:rPr>
                <w:lang w:val="en-GB"/>
              </w:rPr>
            </w:pPr>
            <w:r w:rsidRPr="004A7EDA">
              <w:rPr>
                <w:lang w:val="en-GB"/>
              </w:rPr>
              <w:t>37.9</w:t>
            </w:r>
          </w:p>
        </w:tc>
        <w:tc>
          <w:tcPr>
            <w:tcW w:w="1030" w:type="dxa"/>
            <w:shd w:val="clear" w:color="auto" w:fill="auto"/>
            <w:tcMar>
              <w:top w:w="113" w:type="dxa"/>
              <w:left w:w="28" w:type="dxa"/>
              <w:bottom w:w="113" w:type="dxa"/>
              <w:right w:w="28" w:type="dxa"/>
            </w:tcMar>
          </w:tcPr>
          <w:p w14:paraId="066120B4" w14:textId="77777777" w:rsidR="004A7EDA" w:rsidRPr="004A7EDA" w:rsidRDefault="004A7EDA" w:rsidP="00286AE3">
            <w:pPr>
              <w:pStyle w:val="TableCopy"/>
              <w:rPr>
                <w:lang w:val="en-GB"/>
              </w:rPr>
            </w:pPr>
            <w:r w:rsidRPr="004A7EDA">
              <w:rPr>
                <w:lang w:val="en-GB"/>
              </w:rPr>
              <w:t>22</w:t>
            </w:r>
          </w:p>
        </w:tc>
        <w:tc>
          <w:tcPr>
            <w:tcW w:w="1393" w:type="dxa"/>
            <w:shd w:val="clear" w:color="auto" w:fill="auto"/>
            <w:tcMar>
              <w:top w:w="113" w:type="dxa"/>
              <w:left w:w="28" w:type="dxa"/>
              <w:bottom w:w="113" w:type="dxa"/>
              <w:right w:w="28" w:type="dxa"/>
            </w:tcMar>
          </w:tcPr>
          <w:p w14:paraId="57304AB1" w14:textId="77777777" w:rsidR="004A7EDA" w:rsidRPr="004A7EDA" w:rsidRDefault="004A7EDA" w:rsidP="00286AE3">
            <w:pPr>
              <w:pStyle w:val="TableCopy"/>
              <w:rPr>
                <w:lang w:val="en-GB"/>
              </w:rPr>
            </w:pPr>
            <w:r w:rsidRPr="004A7EDA">
              <w:rPr>
                <w:lang w:val="en-GB"/>
              </w:rPr>
              <w:t>72.3%</w:t>
            </w:r>
          </w:p>
        </w:tc>
        <w:tc>
          <w:tcPr>
            <w:tcW w:w="1031" w:type="dxa"/>
            <w:shd w:val="clear" w:color="auto" w:fill="auto"/>
            <w:tcMar>
              <w:top w:w="113" w:type="dxa"/>
              <w:left w:w="28" w:type="dxa"/>
              <w:bottom w:w="113" w:type="dxa"/>
              <w:right w:w="28" w:type="dxa"/>
            </w:tcMar>
          </w:tcPr>
          <w:p w14:paraId="72AE5611" w14:textId="48AEB46F" w:rsidR="004A7EDA" w:rsidRPr="004A7EDA" w:rsidRDefault="00120E9E" w:rsidP="00286AE3">
            <w:pPr>
              <w:pStyle w:val="TableCopy"/>
              <w:rPr>
                <w:lang w:val="en-GB"/>
              </w:rPr>
            </w:pPr>
            <w:r>
              <w:rPr>
                <w:lang w:val="en-GB"/>
              </w:rPr>
              <w:t>*</w:t>
            </w:r>
          </w:p>
        </w:tc>
      </w:tr>
      <w:tr w:rsidR="004A7EDA" w:rsidRPr="004A7EDA" w14:paraId="5837FC3D" w14:textId="77777777" w:rsidTr="00D50C66">
        <w:trPr>
          <w:trHeight w:val="113"/>
        </w:trPr>
        <w:tc>
          <w:tcPr>
            <w:tcW w:w="10299" w:type="dxa"/>
            <w:gridSpan w:val="6"/>
            <w:shd w:val="clear" w:color="auto" w:fill="auto"/>
            <w:tcMar>
              <w:top w:w="113" w:type="dxa"/>
              <w:left w:w="113" w:type="dxa"/>
              <w:bottom w:w="113" w:type="dxa"/>
              <w:right w:w="113" w:type="dxa"/>
            </w:tcMar>
          </w:tcPr>
          <w:p w14:paraId="2981160F" w14:textId="77777777" w:rsidR="004A7EDA" w:rsidRPr="004A7EDA" w:rsidRDefault="004A7EDA" w:rsidP="00286AE3">
            <w:pPr>
              <w:pStyle w:val="TableCopy"/>
            </w:pPr>
            <w:r w:rsidRPr="004A7EDA">
              <w:t>Higher result due to Visit Victoria increasing its domestic public relations activities. Significant highlights included the launch of the Click for Vic campaign, launch of the intrastate ‘Stay close, Go Further’ campaign, Silo Art Hotel activation announcement and family coverage from the rescheduled Wine Down Pop Up activation.</w:t>
            </w:r>
          </w:p>
        </w:tc>
      </w:tr>
      <w:tr w:rsidR="004A7EDA" w:rsidRPr="004A7EDA" w14:paraId="0B9F133D" w14:textId="77777777" w:rsidTr="00286AE3">
        <w:trPr>
          <w:trHeight w:val="113"/>
        </w:trPr>
        <w:tc>
          <w:tcPr>
            <w:tcW w:w="4786" w:type="dxa"/>
            <w:shd w:val="clear" w:color="auto" w:fill="auto"/>
            <w:tcMar>
              <w:top w:w="113" w:type="dxa"/>
              <w:left w:w="28" w:type="dxa"/>
              <w:bottom w:w="113" w:type="dxa"/>
              <w:right w:w="28" w:type="dxa"/>
            </w:tcMar>
          </w:tcPr>
          <w:p w14:paraId="76D4923D" w14:textId="77777777" w:rsidR="004A7EDA" w:rsidRPr="004A7EDA" w:rsidRDefault="004A7EDA" w:rsidP="00286AE3">
            <w:pPr>
              <w:pStyle w:val="TableCopy"/>
              <w:rPr>
                <w:lang w:val="en-GB"/>
              </w:rPr>
            </w:pPr>
            <w:r w:rsidRPr="004A7EDA">
              <w:rPr>
                <w:lang w:val="en-GB"/>
              </w:rPr>
              <w:t>Value of media coverage generated: international</w:t>
            </w:r>
          </w:p>
        </w:tc>
        <w:tc>
          <w:tcPr>
            <w:tcW w:w="1030" w:type="dxa"/>
            <w:shd w:val="clear" w:color="auto" w:fill="auto"/>
            <w:tcMar>
              <w:top w:w="113" w:type="dxa"/>
              <w:left w:w="28" w:type="dxa"/>
              <w:bottom w:w="113" w:type="dxa"/>
              <w:right w:w="28" w:type="dxa"/>
            </w:tcMar>
          </w:tcPr>
          <w:p w14:paraId="53FB2572" w14:textId="77777777" w:rsidR="004A7EDA" w:rsidRPr="004A7EDA" w:rsidRDefault="004A7EDA" w:rsidP="00286AE3">
            <w:pPr>
              <w:pStyle w:val="TableCopy"/>
              <w:rPr>
                <w:lang w:val="en-GB"/>
              </w:rPr>
            </w:pPr>
            <w:r w:rsidRPr="004A7EDA">
              <w:rPr>
                <w:lang w:val="en-GB"/>
              </w:rPr>
              <w:t>$ million</w:t>
            </w:r>
          </w:p>
        </w:tc>
        <w:tc>
          <w:tcPr>
            <w:tcW w:w="1029" w:type="dxa"/>
            <w:shd w:val="clear" w:color="auto" w:fill="auto"/>
            <w:tcMar>
              <w:top w:w="113" w:type="dxa"/>
              <w:left w:w="28" w:type="dxa"/>
              <w:bottom w:w="113" w:type="dxa"/>
              <w:right w:w="28" w:type="dxa"/>
            </w:tcMar>
          </w:tcPr>
          <w:p w14:paraId="64D866D8" w14:textId="77777777" w:rsidR="004A7EDA" w:rsidRPr="004A7EDA" w:rsidRDefault="004A7EDA" w:rsidP="00286AE3">
            <w:pPr>
              <w:pStyle w:val="TableCopy"/>
              <w:rPr>
                <w:lang w:val="en-GB"/>
              </w:rPr>
            </w:pPr>
            <w:r w:rsidRPr="004A7EDA">
              <w:rPr>
                <w:lang w:val="en-GB"/>
              </w:rPr>
              <w:t>17.89</w:t>
            </w:r>
          </w:p>
        </w:tc>
        <w:tc>
          <w:tcPr>
            <w:tcW w:w="1030" w:type="dxa"/>
            <w:shd w:val="clear" w:color="auto" w:fill="auto"/>
            <w:tcMar>
              <w:top w:w="113" w:type="dxa"/>
              <w:left w:w="28" w:type="dxa"/>
              <w:bottom w:w="113" w:type="dxa"/>
              <w:right w:w="28" w:type="dxa"/>
            </w:tcMar>
          </w:tcPr>
          <w:p w14:paraId="5CEE63E7" w14:textId="77777777" w:rsidR="004A7EDA" w:rsidRPr="004A7EDA" w:rsidRDefault="004A7EDA" w:rsidP="00286AE3">
            <w:pPr>
              <w:pStyle w:val="TableCopy"/>
              <w:rPr>
                <w:lang w:val="en-GB"/>
              </w:rPr>
            </w:pPr>
            <w:r w:rsidRPr="004A7EDA">
              <w:rPr>
                <w:lang w:val="en-GB"/>
              </w:rPr>
              <w:t>46</w:t>
            </w:r>
          </w:p>
        </w:tc>
        <w:tc>
          <w:tcPr>
            <w:tcW w:w="1393" w:type="dxa"/>
            <w:shd w:val="clear" w:color="auto" w:fill="auto"/>
            <w:tcMar>
              <w:top w:w="113" w:type="dxa"/>
              <w:left w:w="28" w:type="dxa"/>
              <w:bottom w:w="113" w:type="dxa"/>
              <w:right w:w="28" w:type="dxa"/>
            </w:tcMar>
          </w:tcPr>
          <w:p w14:paraId="407B834A" w14:textId="77777777" w:rsidR="004A7EDA" w:rsidRPr="004A7EDA" w:rsidRDefault="004A7EDA" w:rsidP="00286AE3">
            <w:pPr>
              <w:pStyle w:val="TableCopy"/>
              <w:rPr>
                <w:lang w:val="en-GB"/>
              </w:rPr>
            </w:pPr>
            <w:r w:rsidRPr="004A7EDA">
              <w:rPr>
                <w:lang w:val="en-GB"/>
              </w:rPr>
              <w:t>-61.1%</w:t>
            </w:r>
          </w:p>
        </w:tc>
        <w:tc>
          <w:tcPr>
            <w:tcW w:w="1031" w:type="dxa"/>
            <w:shd w:val="clear" w:color="auto" w:fill="auto"/>
            <w:tcMar>
              <w:top w:w="113" w:type="dxa"/>
              <w:left w:w="28" w:type="dxa"/>
              <w:bottom w:w="113" w:type="dxa"/>
              <w:right w:w="28" w:type="dxa"/>
            </w:tcMar>
          </w:tcPr>
          <w:p w14:paraId="5D6876B6" w14:textId="36B779F3" w:rsidR="004A7EDA" w:rsidRPr="004A7EDA" w:rsidRDefault="00120E9E" w:rsidP="00286AE3">
            <w:pPr>
              <w:pStyle w:val="TableCopy"/>
              <w:rPr>
                <w:lang w:val="en-GB"/>
              </w:rPr>
            </w:pPr>
            <w:r>
              <w:rPr>
                <w:lang w:val="en-GB"/>
              </w:rPr>
              <w:t>#</w:t>
            </w:r>
          </w:p>
        </w:tc>
      </w:tr>
      <w:tr w:rsidR="004A7EDA" w:rsidRPr="004A7EDA" w14:paraId="70104C2F" w14:textId="77777777" w:rsidTr="00D50C66">
        <w:trPr>
          <w:trHeight w:val="113"/>
        </w:trPr>
        <w:tc>
          <w:tcPr>
            <w:tcW w:w="10299" w:type="dxa"/>
            <w:gridSpan w:val="6"/>
            <w:shd w:val="clear" w:color="auto" w:fill="auto"/>
            <w:tcMar>
              <w:top w:w="113" w:type="dxa"/>
              <w:left w:w="113" w:type="dxa"/>
              <w:bottom w:w="113" w:type="dxa"/>
              <w:right w:w="113" w:type="dxa"/>
            </w:tcMar>
          </w:tcPr>
          <w:p w14:paraId="70B1CCF2" w14:textId="77777777" w:rsidR="004A7EDA" w:rsidRPr="004A7EDA" w:rsidRDefault="004A7EDA" w:rsidP="00286AE3">
            <w:pPr>
              <w:pStyle w:val="TableCopy"/>
            </w:pPr>
            <w:r w:rsidRPr="004A7EDA">
              <w:t xml:space="preserve">Lower result due to COVID-19 and the ongoing closures of international borders. Visit Victoria significantly reduced its international public relations activities for 2020–21, resulting in a significant reduction in Advertising Value Equivalent results for the year. </w:t>
            </w:r>
          </w:p>
        </w:tc>
      </w:tr>
      <w:tr w:rsidR="004A7EDA" w:rsidRPr="004A7EDA" w14:paraId="20E10376" w14:textId="77777777" w:rsidTr="00D50C66">
        <w:trPr>
          <w:trHeight w:val="113"/>
        </w:trPr>
        <w:tc>
          <w:tcPr>
            <w:tcW w:w="10299" w:type="dxa"/>
            <w:gridSpan w:val="6"/>
            <w:shd w:val="clear" w:color="auto" w:fill="auto"/>
            <w:tcMar>
              <w:top w:w="113" w:type="dxa"/>
              <w:left w:w="28" w:type="dxa"/>
              <w:bottom w:w="113" w:type="dxa"/>
              <w:right w:w="28" w:type="dxa"/>
            </w:tcMar>
          </w:tcPr>
          <w:p w14:paraId="3C47930C" w14:textId="77777777" w:rsidR="004A7EDA" w:rsidRPr="004A7EDA" w:rsidRDefault="004A7EDA" w:rsidP="00286AE3">
            <w:pPr>
              <w:pStyle w:val="TableCopy"/>
              <w:rPr>
                <w:lang w:val="en-GB"/>
              </w:rPr>
            </w:pPr>
            <w:r w:rsidRPr="004A7EDA">
              <w:rPr>
                <w:lang w:val="en-GB"/>
              </w:rPr>
              <w:t>Timeliness</w:t>
            </w:r>
          </w:p>
        </w:tc>
      </w:tr>
      <w:tr w:rsidR="004A7EDA" w:rsidRPr="004A7EDA" w14:paraId="2CA406F5" w14:textId="77777777" w:rsidTr="00286AE3">
        <w:trPr>
          <w:trHeight w:val="113"/>
        </w:trPr>
        <w:tc>
          <w:tcPr>
            <w:tcW w:w="4786" w:type="dxa"/>
            <w:shd w:val="clear" w:color="auto" w:fill="auto"/>
            <w:tcMar>
              <w:top w:w="113" w:type="dxa"/>
              <w:left w:w="28" w:type="dxa"/>
              <w:bottom w:w="113" w:type="dxa"/>
              <w:right w:w="28" w:type="dxa"/>
            </w:tcMar>
          </w:tcPr>
          <w:p w14:paraId="734E8002" w14:textId="77777777" w:rsidR="004A7EDA" w:rsidRPr="004A7EDA" w:rsidRDefault="004A7EDA" w:rsidP="00286AE3">
            <w:pPr>
              <w:pStyle w:val="TableCopy"/>
              <w:rPr>
                <w:lang w:val="en-GB"/>
              </w:rPr>
            </w:pPr>
            <w:r w:rsidRPr="004A7EDA">
              <w:rPr>
                <w:lang w:val="en-GB"/>
              </w:rPr>
              <w:t>Completion of post-event reports and economic</w:t>
            </w:r>
            <w:r w:rsidRPr="004A7EDA">
              <w:rPr>
                <w:lang w:val="en-GB"/>
              </w:rPr>
              <w:br/>
              <w:t>impact assessments of each event (where required) within agreed timeframes</w:t>
            </w:r>
          </w:p>
        </w:tc>
        <w:tc>
          <w:tcPr>
            <w:tcW w:w="1030" w:type="dxa"/>
            <w:shd w:val="clear" w:color="auto" w:fill="auto"/>
            <w:tcMar>
              <w:top w:w="113" w:type="dxa"/>
              <w:left w:w="28" w:type="dxa"/>
              <w:bottom w:w="113" w:type="dxa"/>
              <w:right w:w="28" w:type="dxa"/>
            </w:tcMar>
          </w:tcPr>
          <w:p w14:paraId="2591CB22" w14:textId="77777777" w:rsidR="004A7EDA" w:rsidRPr="004A7EDA" w:rsidRDefault="004A7EDA" w:rsidP="00286AE3">
            <w:pPr>
              <w:pStyle w:val="TableCopy"/>
              <w:rPr>
                <w:lang w:val="en-GB"/>
              </w:rPr>
            </w:pPr>
            <w:r w:rsidRPr="004A7EDA">
              <w:rPr>
                <w:lang w:val="en-GB"/>
              </w:rPr>
              <w:t>per cent</w:t>
            </w:r>
          </w:p>
        </w:tc>
        <w:tc>
          <w:tcPr>
            <w:tcW w:w="1029" w:type="dxa"/>
            <w:shd w:val="clear" w:color="auto" w:fill="auto"/>
            <w:tcMar>
              <w:top w:w="113" w:type="dxa"/>
              <w:left w:w="28" w:type="dxa"/>
              <w:bottom w:w="113" w:type="dxa"/>
              <w:right w:w="28" w:type="dxa"/>
            </w:tcMar>
          </w:tcPr>
          <w:p w14:paraId="652A9B4F" w14:textId="77777777" w:rsidR="004A7EDA" w:rsidRPr="004A7EDA" w:rsidRDefault="004A7EDA" w:rsidP="00286AE3">
            <w:pPr>
              <w:pStyle w:val="TableCopy"/>
              <w:rPr>
                <w:lang w:val="en-GB"/>
              </w:rPr>
            </w:pPr>
            <w:r w:rsidRPr="004A7EDA">
              <w:rPr>
                <w:lang w:val="en-GB"/>
              </w:rPr>
              <w:t>100</w:t>
            </w:r>
          </w:p>
        </w:tc>
        <w:tc>
          <w:tcPr>
            <w:tcW w:w="1030" w:type="dxa"/>
            <w:shd w:val="clear" w:color="auto" w:fill="auto"/>
            <w:tcMar>
              <w:top w:w="113" w:type="dxa"/>
              <w:left w:w="28" w:type="dxa"/>
              <w:bottom w:w="113" w:type="dxa"/>
              <w:right w:w="28" w:type="dxa"/>
            </w:tcMar>
          </w:tcPr>
          <w:p w14:paraId="2E951C3D" w14:textId="77777777" w:rsidR="004A7EDA" w:rsidRPr="004A7EDA" w:rsidRDefault="004A7EDA" w:rsidP="00286AE3">
            <w:pPr>
              <w:pStyle w:val="TableCopy"/>
              <w:rPr>
                <w:lang w:val="en-GB"/>
              </w:rPr>
            </w:pPr>
            <w:r w:rsidRPr="004A7EDA">
              <w:rPr>
                <w:lang w:val="en-GB"/>
              </w:rPr>
              <w:t>100</w:t>
            </w:r>
          </w:p>
        </w:tc>
        <w:tc>
          <w:tcPr>
            <w:tcW w:w="1393" w:type="dxa"/>
            <w:shd w:val="clear" w:color="auto" w:fill="auto"/>
            <w:tcMar>
              <w:top w:w="113" w:type="dxa"/>
              <w:left w:w="28" w:type="dxa"/>
              <w:bottom w:w="113" w:type="dxa"/>
              <w:right w:w="28" w:type="dxa"/>
            </w:tcMar>
          </w:tcPr>
          <w:p w14:paraId="29691146" w14:textId="77777777" w:rsidR="004A7EDA" w:rsidRPr="004A7EDA" w:rsidRDefault="004A7EDA" w:rsidP="00286AE3">
            <w:pPr>
              <w:pStyle w:val="TableCopy"/>
              <w:rPr>
                <w:lang w:val="en-GB"/>
              </w:rPr>
            </w:pPr>
            <w:r w:rsidRPr="004A7EDA">
              <w:rPr>
                <w:lang w:val="en-GB"/>
              </w:rPr>
              <w:t>0.0%</w:t>
            </w:r>
          </w:p>
        </w:tc>
        <w:tc>
          <w:tcPr>
            <w:tcW w:w="1031" w:type="dxa"/>
            <w:shd w:val="clear" w:color="auto" w:fill="auto"/>
            <w:tcMar>
              <w:top w:w="113" w:type="dxa"/>
              <w:left w:w="28" w:type="dxa"/>
              <w:bottom w:w="113" w:type="dxa"/>
              <w:right w:w="28" w:type="dxa"/>
            </w:tcMar>
          </w:tcPr>
          <w:p w14:paraId="3EC87E5A" w14:textId="7E74B9ED" w:rsidR="004A7EDA" w:rsidRPr="004A7EDA" w:rsidRDefault="00120E9E" w:rsidP="00286AE3">
            <w:pPr>
              <w:pStyle w:val="TableCopy"/>
              <w:rPr>
                <w:lang w:val="en-GB"/>
              </w:rPr>
            </w:pPr>
            <w:r>
              <w:rPr>
                <w:lang w:val="en-GB"/>
              </w:rPr>
              <w:t>*</w:t>
            </w:r>
          </w:p>
        </w:tc>
      </w:tr>
      <w:tr w:rsidR="004A7EDA" w:rsidRPr="004A7EDA" w14:paraId="73BFF8ED" w14:textId="77777777" w:rsidTr="00D50C66">
        <w:trPr>
          <w:trHeight w:val="113"/>
        </w:trPr>
        <w:tc>
          <w:tcPr>
            <w:tcW w:w="10299" w:type="dxa"/>
            <w:gridSpan w:val="6"/>
            <w:shd w:val="clear" w:color="auto" w:fill="auto"/>
            <w:tcMar>
              <w:top w:w="113" w:type="dxa"/>
              <w:left w:w="28" w:type="dxa"/>
              <w:bottom w:w="113" w:type="dxa"/>
              <w:right w:w="28" w:type="dxa"/>
            </w:tcMar>
          </w:tcPr>
          <w:p w14:paraId="2BABAAB0" w14:textId="77777777" w:rsidR="004A7EDA" w:rsidRPr="004A7EDA" w:rsidRDefault="004A7EDA" w:rsidP="00286AE3">
            <w:pPr>
              <w:pStyle w:val="TableCopy"/>
              <w:rPr>
                <w:lang w:val="en-GB"/>
              </w:rPr>
            </w:pPr>
            <w:r w:rsidRPr="004A7EDA">
              <w:rPr>
                <w:lang w:val="en-GB"/>
              </w:rPr>
              <w:t>Cost</w:t>
            </w:r>
          </w:p>
        </w:tc>
      </w:tr>
      <w:tr w:rsidR="004A7EDA" w:rsidRPr="004A7EDA" w14:paraId="23D4FC8B" w14:textId="77777777" w:rsidTr="00286AE3">
        <w:trPr>
          <w:trHeight w:val="113"/>
        </w:trPr>
        <w:tc>
          <w:tcPr>
            <w:tcW w:w="4786" w:type="dxa"/>
            <w:shd w:val="clear" w:color="auto" w:fill="auto"/>
            <w:tcMar>
              <w:top w:w="113" w:type="dxa"/>
              <w:left w:w="28" w:type="dxa"/>
              <w:bottom w:w="113" w:type="dxa"/>
              <w:right w:w="28" w:type="dxa"/>
            </w:tcMar>
          </w:tcPr>
          <w:p w14:paraId="26BD97E2" w14:textId="77777777" w:rsidR="004A7EDA" w:rsidRPr="004A7EDA" w:rsidRDefault="004A7EDA" w:rsidP="00286AE3">
            <w:pPr>
              <w:pStyle w:val="TableCopy"/>
              <w:rPr>
                <w:lang w:val="en-GB"/>
              </w:rPr>
            </w:pPr>
            <w:r w:rsidRPr="004A7EDA">
              <w:rPr>
                <w:lang w:val="en-GB"/>
              </w:rPr>
              <w:t>Total output cost</w:t>
            </w:r>
          </w:p>
        </w:tc>
        <w:tc>
          <w:tcPr>
            <w:tcW w:w="1030" w:type="dxa"/>
            <w:shd w:val="clear" w:color="auto" w:fill="auto"/>
            <w:tcMar>
              <w:top w:w="113" w:type="dxa"/>
              <w:left w:w="28" w:type="dxa"/>
              <w:bottom w:w="113" w:type="dxa"/>
              <w:right w:w="28" w:type="dxa"/>
            </w:tcMar>
          </w:tcPr>
          <w:p w14:paraId="52786F46" w14:textId="77777777" w:rsidR="004A7EDA" w:rsidRPr="004A7EDA" w:rsidRDefault="004A7EDA" w:rsidP="00286AE3">
            <w:pPr>
              <w:pStyle w:val="TableCopy"/>
              <w:rPr>
                <w:lang w:val="en-GB"/>
              </w:rPr>
            </w:pPr>
            <w:r w:rsidRPr="004A7EDA">
              <w:rPr>
                <w:lang w:val="en-GB"/>
              </w:rPr>
              <w:t>$ million</w:t>
            </w:r>
          </w:p>
        </w:tc>
        <w:tc>
          <w:tcPr>
            <w:tcW w:w="1029" w:type="dxa"/>
            <w:shd w:val="clear" w:color="auto" w:fill="auto"/>
            <w:tcMar>
              <w:top w:w="113" w:type="dxa"/>
              <w:left w:w="28" w:type="dxa"/>
              <w:bottom w:w="113" w:type="dxa"/>
              <w:right w:w="28" w:type="dxa"/>
            </w:tcMar>
          </w:tcPr>
          <w:p w14:paraId="7151B6C7" w14:textId="77777777" w:rsidR="004A7EDA" w:rsidRPr="004A7EDA" w:rsidRDefault="004A7EDA" w:rsidP="00286AE3">
            <w:pPr>
              <w:pStyle w:val="TableCopy"/>
              <w:rPr>
                <w:lang w:val="en-GB"/>
              </w:rPr>
            </w:pPr>
            <w:r w:rsidRPr="004A7EDA">
              <w:rPr>
                <w:lang w:val="en-GB"/>
              </w:rPr>
              <w:t>390.3</w:t>
            </w:r>
          </w:p>
        </w:tc>
        <w:tc>
          <w:tcPr>
            <w:tcW w:w="1030" w:type="dxa"/>
            <w:shd w:val="clear" w:color="auto" w:fill="auto"/>
            <w:tcMar>
              <w:top w:w="113" w:type="dxa"/>
              <w:left w:w="28" w:type="dxa"/>
              <w:bottom w:w="113" w:type="dxa"/>
              <w:right w:w="28" w:type="dxa"/>
            </w:tcMar>
          </w:tcPr>
          <w:p w14:paraId="66DDF524" w14:textId="77777777" w:rsidR="004A7EDA" w:rsidRPr="004A7EDA" w:rsidRDefault="004A7EDA" w:rsidP="00286AE3">
            <w:pPr>
              <w:pStyle w:val="TableCopy"/>
              <w:rPr>
                <w:lang w:val="en-GB"/>
              </w:rPr>
            </w:pPr>
            <w:r w:rsidRPr="004A7EDA">
              <w:rPr>
                <w:lang w:val="en-GB"/>
              </w:rPr>
              <w:t>355.6</w:t>
            </w:r>
          </w:p>
        </w:tc>
        <w:tc>
          <w:tcPr>
            <w:tcW w:w="1393" w:type="dxa"/>
            <w:shd w:val="clear" w:color="auto" w:fill="auto"/>
            <w:tcMar>
              <w:top w:w="113" w:type="dxa"/>
              <w:left w:w="28" w:type="dxa"/>
              <w:bottom w:w="113" w:type="dxa"/>
              <w:right w:w="28" w:type="dxa"/>
            </w:tcMar>
          </w:tcPr>
          <w:p w14:paraId="6C1241DD" w14:textId="77777777" w:rsidR="004A7EDA" w:rsidRPr="004A7EDA" w:rsidRDefault="004A7EDA" w:rsidP="00286AE3">
            <w:pPr>
              <w:pStyle w:val="TableCopy"/>
              <w:rPr>
                <w:lang w:val="en-GB"/>
              </w:rPr>
            </w:pPr>
            <w:r w:rsidRPr="004A7EDA">
              <w:rPr>
                <w:lang w:val="en-GB"/>
              </w:rPr>
              <w:t>9.8%</w:t>
            </w:r>
          </w:p>
        </w:tc>
        <w:tc>
          <w:tcPr>
            <w:tcW w:w="1031" w:type="dxa"/>
            <w:shd w:val="clear" w:color="auto" w:fill="auto"/>
            <w:tcMar>
              <w:top w:w="113" w:type="dxa"/>
              <w:left w:w="28" w:type="dxa"/>
              <w:bottom w:w="113" w:type="dxa"/>
              <w:right w:w="28" w:type="dxa"/>
            </w:tcMar>
          </w:tcPr>
          <w:p w14:paraId="1375A8AF" w14:textId="2E61FB83" w:rsidR="004A7EDA" w:rsidRPr="004A7EDA" w:rsidRDefault="00120E9E" w:rsidP="00286AE3">
            <w:pPr>
              <w:pStyle w:val="TableCopy"/>
              <w:rPr>
                <w:lang w:val="en-GB"/>
              </w:rPr>
            </w:pPr>
            <w:r>
              <w:rPr>
                <w:lang w:val="en-GB"/>
              </w:rPr>
              <w:t>#</w:t>
            </w:r>
          </w:p>
        </w:tc>
      </w:tr>
      <w:tr w:rsidR="004A7EDA" w:rsidRPr="004A7EDA" w14:paraId="5A27EA25" w14:textId="77777777" w:rsidTr="00D50C66">
        <w:trPr>
          <w:trHeight w:val="113"/>
        </w:trPr>
        <w:tc>
          <w:tcPr>
            <w:tcW w:w="10299" w:type="dxa"/>
            <w:gridSpan w:val="6"/>
            <w:shd w:val="clear" w:color="auto" w:fill="auto"/>
            <w:tcMar>
              <w:top w:w="113" w:type="dxa"/>
              <w:left w:w="113" w:type="dxa"/>
              <w:bottom w:w="113" w:type="dxa"/>
              <w:right w:w="113" w:type="dxa"/>
            </w:tcMar>
          </w:tcPr>
          <w:p w14:paraId="3CE93876" w14:textId="77777777" w:rsidR="004A7EDA" w:rsidRPr="004A7EDA" w:rsidRDefault="004A7EDA" w:rsidP="00286AE3">
            <w:pPr>
              <w:pStyle w:val="TableCopy"/>
            </w:pPr>
            <w:r w:rsidRPr="004A7EDA">
              <w:t>The 2020–21 result was higher than the 2020–21 budget primarily due to additional major events funding that was held centrally</w:t>
            </w:r>
            <w:r w:rsidRPr="004A7EDA">
              <w:br/>
              <w:t>until contractual arrangements were finalised.</w:t>
            </w:r>
          </w:p>
        </w:tc>
      </w:tr>
    </w:tbl>
    <w:p w14:paraId="114080B0" w14:textId="78C7B18E" w:rsidR="004A7EDA" w:rsidRPr="004A7EDA" w:rsidRDefault="00286AE3" w:rsidP="004A7EDA">
      <w:pPr>
        <w:rPr>
          <w:lang w:val="en-GB"/>
        </w:rPr>
      </w:pPr>
      <w:r w:rsidRPr="004A7EDA">
        <w:t>Note:</w:t>
      </w:r>
      <w:r w:rsidRPr="004A7EDA">
        <w:t> </w:t>
      </w:r>
      <w:r w:rsidRPr="004A7EDA">
        <w:br/>
      </w:r>
      <w:r>
        <w:t>*</w:t>
      </w:r>
      <w:r w:rsidRPr="004A7EDA">
        <w:t xml:space="preserve"> Performance target achieved or exceeded</w:t>
      </w:r>
      <w:r w:rsidRPr="004A7EDA">
        <w:br/>
      </w:r>
      <w:r>
        <w:t>–</w:t>
      </w:r>
      <w:r w:rsidRPr="004A7EDA">
        <w:t xml:space="preserve"> Performance target not achieved – within 5 per cent variance</w:t>
      </w:r>
      <w:r w:rsidRPr="004A7EDA">
        <w:br/>
      </w:r>
      <w:r>
        <w:t>#</w:t>
      </w:r>
      <w:r w:rsidRPr="004A7EDA">
        <w:t xml:space="preserve"> Performance target not achieved – exceeds 5 per cent variance</w:t>
      </w:r>
    </w:p>
    <w:p w14:paraId="6FA6D6C8" w14:textId="7B7A91BB" w:rsidR="004A7EDA" w:rsidRPr="00EB4F6E" w:rsidRDefault="004A7EDA" w:rsidP="00423809">
      <w:pPr>
        <w:pStyle w:val="Heading1"/>
        <w:rPr>
          <w:lang w:val="en-GB"/>
        </w:rPr>
      </w:pPr>
      <w:bookmarkStart w:id="17" w:name="_Toc87011078"/>
      <w:r w:rsidRPr="004A7EDA">
        <w:rPr>
          <w:lang w:val="en-GB"/>
        </w:rPr>
        <w:lastRenderedPageBreak/>
        <w:t>Objective 6: Promote productive and sustainably used natural resources</w:t>
      </w:r>
      <w:bookmarkEnd w:id="17"/>
    </w:p>
    <w:p w14:paraId="6E8A9D61" w14:textId="468EB07F" w:rsidR="004A7EDA" w:rsidRPr="004A7EDA" w:rsidRDefault="004A7EDA" w:rsidP="004A7EDA">
      <w:pPr>
        <w:rPr>
          <w:lang w:val="en-GB"/>
        </w:rPr>
      </w:pPr>
      <w:r w:rsidRPr="004A7EDA">
        <w:rPr>
          <w:lang w:val="en-GB"/>
        </w:rPr>
        <w:t>This objective supports more productive, globally</w:t>
      </w:r>
      <w:r w:rsidR="00B77CEB">
        <w:rPr>
          <w:lang w:val="en-GB"/>
        </w:rPr>
        <w:t xml:space="preserve"> </w:t>
      </w:r>
      <w:r w:rsidRPr="004A7EDA">
        <w:rPr>
          <w:lang w:val="en-GB"/>
        </w:rPr>
        <w:t xml:space="preserve">competitive, </w:t>
      </w:r>
      <w:proofErr w:type="gramStart"/>
      <w:r w:rsidRPr="004A7EDA">
        <w:rPr>
          <w:lang w:val="en-GB"/>
        </w:rPr>
        <w:t>sustainable</w:t>
      </w:r>
      <w:proofErr w:type="gramEnd"/>
      <w:r w:rsidRPr="004A7EDA">
        <w:rPr>
          <w:lang w:val="en-GB"/>
        </w:rPr>
        <w:t xml:space="preserve"> and jobs-rich agriculture, food and fibre, and resources sectors and creates</w:t>
      </w:r>
      <w:r w:rsidR="00B77CEB">
        <w:rPr>
          <w:lang w:val="en-GB"/>
        </w:rPr>
        <w:t xml:space="preserve"> </w:t>
      </w:r>
      <w:r w:rsidRPr="004A7EDA">
        <w:rPr>
          <w:lang w:val="en-GB"/>
        </w:rPr>
        <w:t>the conditions to grow the forestry and game</w:t>
      </w:r>
      <w:r w:rsidR="00B77CEB">
        <w:rPr>
          <w:lang w:val="en-GB"/>
        </w:rPr>
        <w:t xml:space="preserve"> </w:t>
      </w:r>
      <w:r w:rsidRPr="004A7EDA">
        <w:rPr>
          <w:lang w:val="en-GB"/>
        </w:rPr>
        <w:t>resource economies. The department delivers</w:t>
      </w:r>
      <w:r w:rsidR="00B77CEB">
        <w:rPr>
          <w:lang w:val="en-GB"/>
        </w:rPr>
        <w:t xml:space="preserve"> </w:t>
      </w:r>
      <w:r w:rsidRPr="004A7EDA">
        <w:rPr>
          <w:lang w:val="en-GB"/>
        </w:rPr>
        <w:t>the objective in collaboration with partners, local</w:t>
      </w:r>
      <w:r w:rsidR="00B77CEB">
        <w:rPr>
          <w:lang w:val="en-GB"/>
        </w:rPr>
        <w:t xml:space="preserve"> </w:t>
      </w:r>
      <w:proofErr w:type="gramStart"/>
      <w:r w:rsidRPr="004A7EDA">
        <w:rPr>
          <w:lang w:val="en-GB"/>
        </w:rPr>
        <w:t>communities</w:t>
      </w:r>
      <w:proofErr w:type="gramEnd"/>
      <w:r w:rsidRPr="004A7EDA">
        <w:rPr>
          <w:lang w:val="en-GB"/>
        </w:rPr>
        <w:t xml:space="preserve"> and industry to deliver outcomes</w:t>
      </w:r>
      <w:r w:rsidR="001A7F45">
        <w:rPr>
          <w:lang w:val="en-GB"/>
        </w:rPr>
        <w:t xml:space="preserve"> </w:t>
      </w:r>
      <w:r w:rsidRPr="004A7EDA">
        <w:rPr>
          <w:lang w:val="en-GB"/>
        </w:rPr>
        <w:t>that provide benefits to all Victorians.</w:t>
      </w:r>
    </w:p>
    <w:p w14:paraId="56C493A3" w14:textId="40E2C172" w:rsidR="004A7EDA" w:rsidRPr="004A7EDA" w:rsidRDefault="004A7EDA" w:rsidP="00B77CEB">
      <w:pPr>
        <w:pStyle w:val="Heading3"/>
        <w:rPr>
          <w:lang w:val="en-GB"/>
        </w:rPr>
      </w:pPr>
      <w:bookmarkStart w:id="18" w:name="_Toc87011079"/>
      <w:r w:rsidRPr="004A7EDA">
        <w:rPr>
          <w:lang w:val="en-GB"/>
        </w:rPr>
        <w:t>Progress towards achieving</w:t>
      </w:r>
      <w:r w:rsidR="00B77CEB">
        <w:rPr>
          <w:lang w:val="en-GB"/>
        </w:rPr>
        <w:t xml:space="preserve"> </w:t>
      </w:r>
      <w:r w:rsidRPr="004A7EDA">
        <w:rPr>
          <w:lang w:val="en-GB"/>
        </w:rPr>
        <w:t>this objective</w:t>
      </w:r>
      <w:bookmarkEnd w:id="18"/>
    </w:p>
    <w:p w14:paraId="4E60C8BA" w14:textId="77777777" w:rsidR="004A7EDA" w:rsidRPr="004A7EDA" w:rsidRDefault="004A7EDA" w:rsidP="004A7EDA">
      <w:pPr>
        <w:rPr>
          <w:lang w:val="en-GB"/>
        </w:rPr>
      </w:pPr>
      <w:r w:rsidRPr="004A7EDA">
        <w:rPr>
          <w:lang w:val="en-GB"/>
        </w:rPr>
        <w:t>In 2020–21, the department reported progress against this objective using the following objective indicators and outputs:</w:t>
      </w:r>
    </w:p>
    <w:p w14:paraId="3C9ACCF1" w14:textId="77777777" w:rsidR="004A7EDA" w:rsidRPr="004A7EDA" w:rsidRDefault="004A7EDA" w:rsidP="00B77CEB">
      <w:pPr>
        <w:pStyle w:val="Heading4"/>
        <w:rPr>
          <w:lang w:val="en-GB"/>
        </w:rPr>
      </w:pPr>
      <w:r w:rsidRPr="004A7EDA">
        <w:rPr>
          <w:lang w:val="en-GB"/>
        </w:rPr>
        <w:t>Objective Indicators</w:t>
      </w:r>
    </w:p>
    <w:p w14:paraId="19B51A23" w14:textId="77777777" w:rsidR="004A7EDA" w:rsidRPr="004A7EDA" w:rsidRDefault="004A7EDA" w:rsidP="00B77CEB">
      <w:pPr>
        <w:pStyle w:val="Bullet"/>
        <w:rPr>
          <w:lang w:val="en-GB"/>
        </w:rPr>
      </w:pPr>
      <w:r w:rsidRPr="004A7EDA">
        <w:rPr>
          <w:lang w:val="en-GB"/>
        </w:rPr>
        <w:t>Value of Victorian agriculture production</w:t>
      </w:r>
    </w:p>
    <w:p w14:paraId="53B8695C" w14:textId="77777777" w:rsidR="004A7EDA" w:rsidRPr="004A7EDA" w:rsidRDefault="004A7EDA" w:rsidP="00B77CEB">
      <w:pPr>
        <w:pStyle w:val="Bullet"/>
        <w:rPr>
          <w:lang w:val="en-GB"/>
        </w:rPr>
      </w:pPr>
      <w:r w:rsidRPr="004A7EDA">
        <w:rPr>
          <w:lang w:val="en-GB"/>
        </w:rPr>
        <w:t>Value of Victorian food and fibre exports</w:t>
      </w:r>
    </w:p>
    <w:p w14:paraId="64AED48C" w14:textId="77777777" w:rsidR="004A7EDA" w:rsidRPr="004A7EDA" w:rsidRDefault="004A7EDA" w:rsidP="00B77CEB">
      <w:pPr>
        <w:pStyle w:val="Bullet"/>
        <w:rPr>
          <w:lang w:val="en-GB"/>
        </w:rPr>
      </w:pPr>
      <w:r w:rsidRPr="004A7EDA">
        <w:rPr>
          <w:lang w:val="en-GB"/>
        </w:rPr>
        <w:t>Metres drilled for minerals exploration in Victoria</w:t>
      </w:r>
    </w:p>
    <w:p w14:paraId="221CEECE" w14:textId="77777777" w:rsidR="004A7EDA" w:rsidRPr="004A7EDA" w:rsidRDefault="004A7EDA" w:rsidP="00B77CEB">
      <w:pPr>
        <w:pStyle w:val="Bullet"/>
        <w:rPr>
          <w:lang w:val="en-GB"/>
        </w:rPr>
      </w:pPr>
      <w:r w:rsidRPr="004A7EDA">
        <w:rPr>
          <w:lang w:val="en-GB"/>
        </w:rPr>
        <w:t>Level of production of minerals and extractives</w:t>
      </w:r>
    </w:p>
    <w:p w14:paraId="4B02168C" w14:textId="77777777" w:rsidR="004A7EDA" w:rsidRPr="004A7EDA" w:rsidRDefault="004A7EDA" w:rsidP="00B77CEB">
      <w:pPr>
        <w:pStyle w:val="Heading4"/>
        <w:rPr>
          <w:lang w:val="en-GB"/>
        </w:rPr>
      </w:pPr>
      <w:r w:rsidRPr="004A7EDA">
        <w:rPr>
          <w:lang w:val="en-GB"/>
        </w:rPr>
        <w:t>Outputs</w:t>
      </w:r>
    </w:p>
    <w:p w14:paraId="2A27DE2A" w14:textId="77777777" w:rsidR="004A7EDA" w:rsidRPr="004A7EDA" w:rsidRDefault="004A7EDA" w:rsidP="00B77CEB">
      <w:pPr>
        <w:pStyle w:val="Bullet"/>
        <w:rPr>
          <w:lang w:val="en-GB"/>
        </w:rPr>
      </w:pPr>
      <w:r w:rsidRPr="004A7EDA">
        <w:rPr>
          <w:lang w:val="en-GB"/>
        </w:rPr>
        <w:t>Agriculture</w:t>
      </w:r>
    </w:p>
    <w:p w14:paraId="5682BAE9" w14:textId="77777777" w:rsidR="004A7EDA" w:rsidRPr="004A7EDA" w:rsidRDefault="004A7EDA" w:rsidP="00B77CEB">
      <w:pPr>
        <w:pStyle w:val="Bullet"/>
        <w:rPr>
          <w:lang w:val="en-GB"/>
        </w:rPr>
      </w:pPr>
      <w:r w:rsidRPr="004A7EDA">
        <w:rPr>
          <w:lang w:val="en-GB"/>
        </w:rPr>
        <w:t>Agriculture Industry Development and Regulation</w:t>
      </w:r>
    </w:p>
    <w:p w14:paraId="70496BB0" w14:textId="77777777" w:rsidR="004A7EDA" w:rsidRPr="004A7EDA" w:rsidRDefault="004A7EDA" w:rsidP="00B77CEB">
      <w:pPr>
        <w:pStyle w:val="Bullet"/>
        <w:rPr>
          <w:lang w:val="en-GB"/>
        </w:rPr>
      </w:pPr>
      <w:r w:rsidRPr="004A7EDA">
        <w:rPr>
          <w:lang w:val="en-GB"/>
        </w:rPr>
        <w:t>Agriculture Research</w:t>
      </w:r>
    </w:p>
    <w:p w14:paraId="4BB5201E" w14:textId="77777777" w:rsidR="004A7EDA" w:rsidRPr="004A7EDA" w:rsidRDefault="004A7EDA" w:rsidP="00B77CEB">
      <w:pPr>
        <w:pStyle w:val="Bullet"/>
        <w:rPr>
          <w:lang w:val="en-GB"/>
        </w:rPr>
      </w:pPr>
      <w:r w:rsidRPr="004A7EDA">
        <w:rPr>
          <w:lang w:val="en-GB"/>
        </w:rPr>
        <w:t>Biosecurity and Agriculture Services</w:t>
      </w:r>
    </w:p>
    <w:p w14:paraId="7E9E0F5D" w14:textId="77777777" w:rsidR="004A7EDA" w:rsidRPr="004A7EDA" w:rsidRDefault="004A7EDA" w:rsidP="00B77CEB">
      <w:pPr>
        <w:pStyle w:val="Bullet"/>
        <w:rPr>
          <w:lang w:val="en-GB"/>
        </w:rPr>
      </w:pPr>
      <w:r w:rsidRPr="004A7EDA">
        <w:rPr>
          <w:lang w:val="en-GB"/>
        </w:rPr>
        <w:t>Sustainably manage forest and game resources</w:t>
      </w:r>
    </w:p>
    <w:p w14:paraId="10C05547" w14:textId="77777777" w:rsidR="004A7EDA" w:rsidRPr="004A7EDA" w:rsidRDefault="004A7EDA" w:rsidP="00B77CEB">
      <w:pPr>
        <w:pStyle w:val="Bullet"/>
        <w:rPr>
          <w:lang w:val="en-GB"/>
        </w:rPr>
      </w:pPr>
      <w:r w:rsidRPr="004A7EDA">
        <w:rPr>
          <w:lang w:val="en-GB"/>
        </w:rPr>
        <w:t>Resources</w:t>
      </w:r>
    </w:p>
    <w:p w14:paraId="3D944D40" w14:textId="207042A5" w:rsidR="004A7EDA" w:rsidRPr="004A7EDA" w:rsidRDefault="004A7EDA" w:rsidP="004A7EDA">
      <w:pPr>
        <w:rPr>
          <w:lang w:val="en-GB"/>
        </w:rPr>
      </w:pPr>
      <w:r w:rsidRPr="004A7EDA">
        <w:rPr>
          <w:lang w:val="en-GB"/>
        </w:rPr>
        <w:t xml:space="preserve">The department supports a productive, globally </w:t>
      </w:r>
      <w:proofErr w:type="gramStart"/>
      <w:r w:rsidRPr="004A7EDA">
        <w:rPr>
          <w:lang w:val="en-GB"/>
        </w:rPr>
        <w:t>competitive</w:t>
      </w:r>
      <w:proofErr w:type="gramEnd"/>
      <w:r w:rsidRPr="004A7EDA">
        <w:rPr>
          <w:lang w:val="en-GB"/>
        </w:rPr>
        <w:t xml:space="preserve"> and sustainable Victorian economy for the states’ innovative and resilient agriculture, food and fibre sector. The department works with community and industry to enhance productivity; connect the sector with international markets</w:t>
      </w:r>
      <w:r w:rsidR="00B77CEB">
        <w:rPr>
          <w:lang w:val="en-GB"/>
        </w:rPr>
        <w:t xml:space="preserve"> </w:t>
      </w:r>
      <w:r w:rsidRPr="004A7EDA">
        <w:rPr>
          <w:lang w:val="en-GB"/>
        </w:rPr>
        <w:t>and create jobs; support growth; maintain effective biosecurity; and improve the welfare of domestic and production animals.</w:t>
      </w:r>
    </w:p>
    <w:p w14:paraId="0E5EF5CD" w14:textId="77777777" w:rsidR="004A7EDA" w:rsidRPr="004A7EDA" w:rsidRDefault="004A7EDA" w:rsidP="00B77CEB">
      <w:pPr>
        <w:pStyle w:val="Heading4"/>
        <w:rPr>
          <w:lang w:val="en-GB"/>
        </w:rPr>
      </w:pPr>
      <w:r w:rsidRPr="004A7EDA">
        <w:rPr>
          <w:lang w:val="en-GB"/>
        </w:rPr>
        <w:t>Indicator: Value of Victorian agriculture production</w:t>
      </w:r>
    </w:p>
    <w:p w14:paraId="6C087138" w14:textId="77777777" w:rsidR="004A7EDA" w:rsidRPr="004A7EDA" w:rsidRDefault="004A7EDA" w:rsidP="00B77CEB">
      <w:pPr>
        <w:pStyle w:val="Heading5"/>
        <w:rPr>
          <w:lang w:val="en-GB"/>
        </w:rPr>
      </w:pPr>
      <w:r w:rsidRPr="004A7EDA">
        <w:rPr>
          <w:lang w:val="en-GB"/>
        </w:rPr>
        <w:t>Table 26: Value of Victorian agriculture production</w:t>
      </w:r>
    </w:p>
    <w:tbl>
      <w:tblPr>
        <w:tblW w:w="0" w:type="auto"/>
        <w:tblInd w:w="28" w:type="dxa"/>
        <w:tblLayout w:type="fixed"/>
        <w:tblCellMar>
          <w:left w:w="0" w:type="dxa"/>
          <w:right w:w="0" w:type="dxa"/>
        </w:tblCellMar>
        <w:tblLook w:val="0000" w:firstRow="0" w:lastRow="0" w:firstColumn="0" w:lastColumn="0" w:noHBand="0" w:noVBand="0"/>
      </w:tblPr>
      <w:tblGrid>
        <w:gridCol w:w="4457"/>
        <w:gridCol w:w="1446"/>
        <w:gridCol w:w="1446"/>
        <w:gridCol w:w="1445"/>
        <w:gridCol w:w="1446"/>
      </w:tblGrid>
      <w:tr w:rsidR="004A7EDA" w:rsidRPr="004A7EDA" w14:paraId="1A396FE1" w14:textId="77777777" w:rsidTr="00D50C66">
        <w:trPr>
          <w:trHeight w:val="318"/>
        </w:trPr>
        <w:tc>
          <w:tcPr>
            <w:tcW w:w="445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AEC5095" w14:textId="77777777" w:rsidR="004A7EDA" w:rsidRPr="004A7EDA" w:rsidRDefault="004A7EDA" w:rsidP="00286AE3">
            <w:pPr>
              <w:pStyle w:val="TableHeading"/>
              <w:rPr>
                <w:lang w:val="en-GB"/>
              </w:rPr>
            </w:pPr>
            <w:r w:rsidRPr="004A7EDA">
              <w:rPr>
                <w:lang w:val="en-GB"/>
              </w:rPr>
              <w:t>Measure (unit of measure)</w:t>
            </w:r>
          </w:p>
        </w:tc>
        <w:tc>
          <w:tcPr>
            <w:tcW w:w="14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6DC1282" w14:textId="77777777" w:rsidR="004A7EDA" w:rsidRPr="004A7EDA" w:rsidRDefault="004A7EDA" w:rsidP="00286AE3">
            <w:pPr>
              <w:pStyle w:val="TableHeading"/>
              <w:rPr>
                <w:lang w:val="en-GB"/>
              </w:rPr>
            </w:pPr>
            <w:r w:rsidRPr="004A7EDA">
              <w:rPr>
                <w:lang w:val="en-GB"/>
              </w:rPr>
              <w:t>2017–18</w:t>
            </w:r>
          </w:p>
        </w:tc>
        <w:tc>
          <w:tcPr>
            <w:tcW w:w="14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3BEEFC6" w14:textId="77777777" w:rsidR="004A7EDA" w:rsidRPr="004A7EDA" w:rsidRDefault="004A7EDA" w:rsidP="00286AE3">
            <w:pPr>
              <w:pStyle w:val="TableHeading"/>
              <w:rPr>
                <w:lang w:val="en-GB"/>
              </w:rPr>
            </w:pPr>
            <w:r w:rsidRPr="004A7EDA">
              <w:rPr>
                <w:lang w:val="en-GB"/>
              </w:rPr>
              <w:t>2018–19</w:t>
            </w:r>
          </w:p>
        </w:tc>
        <w:tc>
          <w:tcPr>
            <w:tcW w:w="144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F016427" w14:textId="77777777" w:rsidR="004A7EDA" w:rsidRPr="004A7EDA" w:rsidRDefault="004A7EDA" w:rsidP="00286AE3">
            <w:pPr>
              <w:pStyle w:val="TableHeading"/>
              <w:rPr>
                <w:lang w:val="en-GB"/>
              </w:rPr>
            </w:pPr>
            <w:r w:rsidRPr="004A7EDA">
              <w:rPr>
                <w:lang w:val="en-GB"/>
              </w:rPr>
              <w:t>2019–20</w:t>
            </w:r>
          </w:p>
        </w:tc>
        <w:tc>
          <w:tcPr>
            <w:tcW w:w="14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36C3BA7" w14:textId="77777777" w:rsidR="004A7EDA" w:rsidRPr="004A7EDA" w:rsidRDefault="004A7EDA" w:rsidP="00286AE3">
            <w:pPr>
              <w:pStyle w:val="TableHeading"/>
              <w:rPr>
                <w:lang w:val="en-GB"/>
              </w:rPr>
            </w:pPr>
            <w:r w:rsidRPr="004A7EDA">
              <w:rPr>
                <w:lang w:val="en-GB"/>
              </w:rPr>
              <w:t>2020–21</w:t>
            </w:r>
          </w:p>
        </w:tc>
      </w:tr>
      <w:tr w:rsidR="004A7EDA" w:rsidRPr="004A7EDA" w14:paraId="2DF9F193" w14:textId="77777777" w:rsidTr="00D50C66">
        <w:trPr>
          <w:trHeight w:val="318"/>
        </w:trPr>
        <w:tc>
          <w:tcPr>
            <w:tcW w:w="445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885C81B" w14:textId="77777777" w:rsidR="004A7EDA" w:rsidRPr="004A7EDA" w:rsidRDefault="004A7EDA" w:rsidP="00286AE3">
            <w:pPr>
              <w:pStyle w:val="TableCopy"/>
              <w:rPr>
                <w:lang w:val="en-GB"/>
              </w:rPr>
            </w:pPr>
            <w:r w:rsidRPr="004A7EDA">
              <w:rPr>
                <w:lang w:val="en-GB"/>
              </w:rPr>
              <w:t>Gross value of Victorian agriculture production</w:t>
            </w:r>
            <w:r w:rsidRPr="004A7EDA">
              <w:rPr>
                <w:lang w:val="en-GB"/>
              </w:rPr>
              <w:br/>
              <w:t>($ billion)</w:t>
            </w:r>
          </w:p>
        </w:tc>
        <w:tc>
          <w:tcPr>
            <w:tcW w:w="14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F5A8495" w14:textId="77777777" w:rsidR="004A7EDA" w:rsidRPr="004A7EDA" w:rsidRDefault="004A7EDA" w:rsidP="00286AE3">
            <w:pPr>
              <w:pStyle w:val="TableCopy"/>
              <w:rPr>
                <w:lang w:val="en-GB"/>
              </w:rPr>
            </w:pPr>
            <w:r w:rsidRPr="004A7EDA">
              <w:rPr>
                <w:lang w:val="en-GB"/>
              </w:rPr>
              <w:t>14.9</w:t>
            </w:r>
          </w:p>
        </w:tc>
        <w:tc>
          <w:tcPr>
            <w:tcW w:w="14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E9D1AA0" w14:textId="77777777" w:rsidR="004A7EDA" w:rsidRPr="004A7EDA" w:rsidRDefault="004A7EDA" w:rsidP="00286AE3">
            <w:pPr>
              <w:pStyle w:val="TableCopy"/>
              <w:rPr>
                <w:lang w:val="en-GB"/>
              </w:rPr>
            </w:pPr>
            <w:r w:rsidRPr="004A7EDA">
              <w:rPr>
                <w:lang w:val="en-GB"/>
              </w:rPr>
              <w:t>15.8</w:t>
            </w:r>
          </w:p>
        </w:tc>
        <w:tc>
          <w:tcPr>
            <w:tcW w:w="1445"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C134571" w14:textId="77777777" w:rsidR="004A7EDA" w:rsidRPr="004A7EDA" w:rsidRDefault="004A7EDA" w:rsidP="00286AE3">
            <w:pPr>
              <w:pStyle w:val="TableCopy"/>
              <w:rPr>
                <w:lang w:val="en-GB"/>
              </w:rPr>
            </w:pPr>
            <w:r w:rsidRPr="004A7EDA">
              <w:rPr>
                <w:lang w:val="en-GB"/>
              </w:rPr>
              <w:t>17.8</w:t>
            </w:r>
          </w:p>
        </w:tc>
        <w:tc>
          <w:tcPr>
            <w:tcW w:w="1446"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A5BC74E" w14:textId="77777777" w:rsidR="004A7EDA" w:rsidRPr="004A7EDA" w:rsidRDefault="004A7EDA" w:rsidP="00286AE3">
            <w:pPr>
              <w:pStyle w:val="TableCopy"/>
              <w:rPr>
                <w:lang w:val="en-GB"/>
              </w:rPr>
            </w:pPr>
            <w:r w:rsidRPr="004A7EDA">
              <w:rPr>
                <w:lang w:val="en-GB"/>
              </w:rPr>
              <w:t>Data available May 2022</w:t>
            </w:r>
          </w:p>
        </w:tc>
      </w:tr>
    </w:tbl>
    <w:p w14:paraId="1136AA83" w14:textId="4BBCBDBE" w:rsidR="004A7EDA" w:rsidRPr="0041342C" w:rsidRDefault="004A7EDA" w:rsidP="0041342C">
      <w:pPr>
        <w:pStyle w:val="Heading5"/>
        <w:rPr>
          <w:lang w:val="en-GB"/>
        </w:rPr>
      </w:pPr>
      <w:r w:rsidRPr="004A7EDA">
        <w:rPr>
          <w:lang w:val="en-GB"/>
        </w:rPr>
        <w:t>Figure 23: Gross value of Victorian agriculture production</w:t>
      </w:r>
    </w:p>
    <w:p w14:paraId="79381E1B" w14:textId="7EBF7ACB" w:rsidR="004A7EDA" w:rsidRPr="004A7EDA" w:rsidRDefault="00B77CEB" w:rsidP="004A7EDA">
      <w:pPr>
        <w:rPr>
          <w:lang w:val="en-GB"/>
        </w:rPr>
      </w:pPr>
      <w:r>
        <w:rPr>
          <w:noProof/>
          <w:lang w:val="en-GB"/>
        </w:rPr>
        <w:drawing>
          <wp:inline distT="0" distB="0" distL="0" distR="0" wp14:anchorId="12D6B675" wp14:editId="4CC04FB3">
            <wp:extent cx="2895600" cy="1885950"/>
            <wp:effectExtent l="0" t="0" r="0" b="0"/>
            <wp:docPr id="23" name="Picture 23" descr="Chart, line chart&#10;&#10;Gross value of Victorian agriculture production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10;&#10;Gross value of Victorian agriculture production 2017-2020"/>
                    <pic:cNvPicPr/>
                  </pic:nvPicPr>
                  <pic:blipFill rotWithShape="1">
                    <a:blip r:embed="rId34"/>
                    <a:srcRect b="24619"/>
                    <a:stretch/>
                  </pic:blipFill>
                  <pic:spPr bwMode="auto">
                    <a:xfrm>
                      <a:off x="0" y="0"/>
                      <a:ext cx="2895600" cy="1885950"/>
                    </a:xfrm>
                    <a:prstGeom prst="rect">
                      <a:avLst/>
                    </a:prstGeom>
                    <a:ln>
                      <a:noFill/>
                    </a:ln>
                    <a:extLst>
                      <a:ext uri="{53640926-AAD7-44D8-BBD7-CCE9431645EC}">
                        <a14:shadowObscured xmlns:a14="http://schemas.microsoft.com/office/drawing/2010/main"/>
                      </a:ext>
                    </a:extLst>
                  </pic:spPr>
                </pic:pic>
              </a:graphicData>
            </a:graphic>
          </wp:inline>
        </w:drawing>
      </w:r>
    </w:p>
    <w:p w14:paraId="0B536A12" w14:textId="756B302B" w:rsidR="004A7EDA" w:rsidRPr="004A7EDA" w:rsidRDefault="004A7EDA" w:rsidP="004A7EDA">
      <w:pPr>
        <w:rPr>
          <w:lang w:val="en-GB"/>
        </w:rPr>
      </w:pPr>
      <w:r w:rsidRPr="004A7EDA">
        <w:rPr>
          <w:lang w:val="en-GB"/>
        </w:rPr>
        <w:lastRenderedPageBreak/>
        <w:t>The total value of agriculture production in Victoria increased by 12.3 per cent to $17.8 billion in 2019–20 (the latest available data), compared to $15.8 billion in 2018–19. There were increases in the value</w:t>
      </w:r>
      <w:r w:rsidR="00B77CEB">
        <w:rPr>
          <w:lang w:val="en-GB"/>
        </w:rPr>
        <w:t xml:space="preserve"> </w:t>
      </w:r>
      <w:r w:rsidRPr="004A7EDA">
        <w:rPr>
          <w:lang w:val="en-GB"/>
        </w:rPr>
        <w:t>of production in beef and lamb livestock, grain,</w:t>
      </w:r>
      <w:r w:rsidR="00B77CEB">
        <w:rPr>
          <w:lang w:val="en-GB"/>
        </w:rPr>
        <w:t xml:space="preserve"> </w:t>
      </w:r>
      <w:r w:rsidRPr="004A7EDA">
        <w:rPr>
          <w:lang w:val="en-GB"/>
        </w:rPr>
        <w:t>and horticulture industries.</w:t>
      </w:r>
    </w:p>
    <w:p w14:paraId="1A18EF36" w14:textId="18D65B0D" w:rsidR="004A7EDA" w:rsidRPr="004A7EDA" w:rsidRDefault="004A7EDA" w:rsidP="004A7EDA">
      <w:pPr>
        <w:rPr>
          <w:lang w:val="en-GB"/>
        </w:rPr>
      </w:pPr>
      <w:r w:rsidRPr="004A7EDA">
        <w:rPr>
          <w:lang w:val="en-GB"/>
        </w:rPr>
        <w:t>The impact of COVID-19 on Victorian agricultural produce and food and beverage products is estimated at $1.24 billion in 2019–20 and has continued in 2020–21. To mitigate the impact,</w:t>
      </w:r>
      <w:r w:rsidR="00C857CB">
        <w:rPr>
          <w:lang w:val="en-GB"/>
        </w:rPr>
        <w:t xml:space="preserve"> </w:t>
      </w:r>
      <w:r w:rsidRPr="004A7EDA">
        <w:rPr>
          <w:lang w:val="en-GB"/>
        </w:rPr>
        <w:t>the Victorian Government introduced a $57 million Agriculture Workforce Plan. An additional $19.3 million was provided for the seasonal</w:t>
      </w:r>
      <w:r w:rsidR="00C857CB">
        <w:rPr>
          <w:lang w:val="en-GB"/>
        </w:rPr>
        <w:t xml:space="preserve"> </w:t>
      </w:r>
      <w:r w:rsidRPr="004A7EDA">
        <w:rPr>
          <w:lang w:val="en-GB"/>
        </w:rPr>
        <w:t>workforce program. The program was introduced to support agriculture businesses throughout the COVID-19 pandemic and to help address seasonal workforce shortages.</w:t>
      </w:r>
    </w:p>
    <w:p w14:paraId="499DA6B6" w14:textId="6F192A17" w:rsidR="004A7EDA" w:rsidRPr="004A7EDA" w:rsidRDefault="004A7EDA" w:rsidP="004A7EDA">
      <w:pPr>
        <w:rPr>
          <w:lang w:val="en-GB"/>
        </w:rPr>
      </w:pPr>
      <w:r w:rsidRPr="004A7EDA">
        <w:rPr>
          <w:lang w:val="en-GB"/>
        </w:rPr>
        <w:t>Post 2019–20 bushfire recovery services in the</w:t>
      </w:r>
      <w:r w:rsidR="00C857CB">
        <w:rPr>
          <w:lang w:val="en-GB"/>
        </w:rPr>
        <w:t xml:space="preserve"> </w:t>
      </w:r>
      <w:r w:rsidRPr="004A7EDA">
        <w:rPr>
          <w:lang w:val="en-GB"/>
        </w:rPr>
        <w:t>North East and East Gippsland regions were well received in 2020–21. Support has been provided through delivery of over 2000 services despite COVID-19 impacts. Agriculture Victoria has provided technical information and assistance focused on pasture recovery, managing debris in stock water supplies, erosion control, feed planning and seasonal forecasting outlook. In addition, the department promoted other assistance available including grants, health and well-being support, and the</w:t>
      </w:r>
      <w:r w:rsidR="00C857CB">
        <w:rPr>
          <w:lang w:val="en-GB"/>
        </w:rPr>
        <w:t xml:space="preserve"> </w:t>
      </w:r>
      <w:r w:rsidRPr="004A7EDA">
        <w:rPr>
          <w:lang w:val="en-GB"/>
        </w:rPr>
        <w:t>Rural Financial Counselling Services.</w:t>
      </w:r>
    </w:p>
    <w:p w14:paraId="75D6F724" w14:textId="7E95609A" w:rsidR="004A7EDA" w:rsidRPr="004A7EDA" w:rsidRDefault="004A7EDA" w:rsidP="004A7EDA">
      <w:pPr>
        <w:rPr>
          <w:lang w:val="en-GB"/>
        </w:rPr>
      </w:pPr>
      <w:r w:rsidRPr="004A7EDA">
        <w:rPr>
          <w:lang w:val="en-GB"/>
        </w:rPr>
        <w:t xml:space="preserve">In 2020–21, the Victorian agriculture sector experienced a significant flood and storm event across the Central Highlands, </w:t>
      </w:r>
      <w:proofErr w:type="spellStart"/>
      <w:r w:rsidRPr="004A7EDA">
        <w:rPr>
          <w:lang w:val="en-GB"/>
        </w:rPr>
        <w:t>Yarra</w:t>
      </w:r>
      <w:proofErr w:type="spellEnd"/>
      <w:r w:rsidRPr="004A7EDA">
        <w:rPr>
          <w:lang w:val="en-GB"/>
        </w:rPr>
        <w:t xml:space="preserve"> Ranges, and Central Gippsland, and is still recovering from the dry seasonal conditions particularly in the far North West, Central and East Gippsland regions of the state. Support was provided to producers and industry in affected regions to identify any urgent animal welfare needs and record property, livestock, and horticulture impacts. Recovery support will continue for some time to assist impacted producers with technical advice on issues including stock health, nutrition and feed budgeting, fencing, pasture recovery and grazing management, soil erosion, dams and waterways, and horticulture. </w:t>
      </w:r>
    </w:p>
    <w:p w14:paraId="52D41963" w14:textId="5C806C65" w:rsidR="004A7EDA" w:rsidRPr="004A7EDA" w:rsidRDefault="004A7EDA" w:rsidP="004A7EDA">
      <w:pPr>
        <w:rPr>
          <w:lang w:val="en-GB"/>
        </w:rPr>
      </w:pPr>
      <w:r w:rsidRPr="004A7EDA">
        <w:rPr>
          <w:lang w:val="en-GB"/>
        </w:rPr>
        <w:t>In 2020–21, Agriculture Victoria responded to</w:t>
      </w:r>
      <w:r w:rsidR="00C857CB">
        <w:rPr>
          <w:lang w:val="en-GB"/>
        </w:rPr>
        <w:t xml:space="preserve"> </w:t>
      </w:r>
      <w:r w:rsidRPr="004A7EDA">
        <w:rPr>
          <w:lang w:val="en-GB"/>
        </w:rPr>
        <w:t>the largest recorded outbreak of avian influenza in Australia, which included three different strains of avian influenza across six commercial poultry properties and one related composting property. Victoria’s response involved containment through movement restrictions, with declaration of control and restricted control areas, and eradication of the virus and decontamination of the infected premises. A surveillance program is underway to provide confidence that the disease has been eradicated and support a case for Australia being declared</w:t>
      </w:r>
      <w:r w:rsidR="00C857CB">
        <w:rPr>
          <w:lang w:val="en-GB"/>
        </w:rPr>
        <w:t xml:space="preserve"> </w:t>
      </w:r>
      <w:r w:rsidRPr="004A7EDA">
        <w:rPr>
          <w:lang w:val="en-GB"/>
        </w:rPr>
        <w:t>free from the disease. Over 17,000 diagnostic tests have been performed as part of this process.</w:t>
      </w:r>
    </w:p>
    <w:p w14:paraId="2DDEC7CD" w14:textId="3DEEE337" w:rsidR="004A7EDA" w:rsidRPr="004A7EDA" w:rsidRDefault="004A7EDA" w:rsidP="004A7EDA">
      <w:pPr>
        <w:rPr>
          <w:lang w:val="en-GB"/>
        </w:rPr>
      </w:pPr>
      <w:r w:rsidRPr="004A7EDA">
        <w:rPr>
          <w:lang w:val="en-GB"/>
        </w:rPr>
        <w:t>Agriculture Victoria continued to deliver critical research and innovation in 2020–21. Research</w:t>
      </w:r>
      <w:r w:rsidR="00C857CB">
        <w:rPr>
          <w:lang w:val="en-GB"/>
        </w:rPr>
        <w:t xml:space="preserve"> </w:t>
      </w:r>
      <w:r w:rsidRPr="004A7EDA">
        <w:rPr>
          <w:lang w:val="en-GB"/>
        </w:rPr>
        <w:t xml:space="preserve">and innovation in major industries, including dairy, </w:t>
      </w:r>
      <w:proofErr w:type="gramStart"/>
      <w:r w:rsidRPr="004A7EDA">
        <w:rPr>
          <w:lang w:val="en-GB"/>
        </w:rPr>
        <w:t>grains</w:t>
      </w:r>
      <w:proofErr w:type="gramEnd"/>
      <w:r w:rsidRPr="004A7EDA">
        <w:rPr>
          <w:lang w:val="en-GB"/>
        </w:rPr>
        <w:t xml:space="preserve"> and horticulture, as well as in emerging bioindustries, was delivered through multi-disciplinary research collaborations with industry that accelerate and enhance productivity impacts. For example, the </w:t>
      </w:r>
      <w:proofErr w:type="spellStart"/>
      <w:r w:rsidRPr="004A7EDA">
        <w:rPr>
          <w:lang w:val="en-GB"/>
        </w:rPr>
        <w:t>DairyBio</w:t>
      </w:r>
      <w:proofErr w:type="spellEnd"/>
      <w:r w:rsidRPr="004A7EDA">
        <w:rPr>
          <w:lang w:val="en-GB"/>
        </w:rPr>
        <w:t xml:space="preserve"> initiative, a partnership with the dairy industry, has delivered accelerated precision breeding of forages with commercial partners using genomic selection and hybrid breeding. The result is a significant boost to genetic gain – up to five times – and an increase in yields</w:t>
      </w:r>
      <w:r w:rsidR="00C857CB">
        <w:rPr>
          <w:lang w:val="en-GB"/>
        </w:rPr>
        <w:t xml:space="preserve"> </w:t>
      </w:r>
      <w:r w:rsidRPr="004A7EDA">
        <w:rPr>
          <w:lang w:val="en-GB"/>
        </w:rPr>
        <w:t>of 20 per cent.</w:t>
      </w:r>
    </w:p>
    <w:p w14:paraId="56A3DF55" w14:textId="3ACEBCFE" w:rsidR="004A7EDA" w:rsidRPr="004A7EDA" w:rsidRDefault="004A7EDA" w:rsidP="004A7EDA">
      <w:pPr>
        <w:rPr>
          <w:lang w:val="en-GB"/>
        </w:rPr>
      </w:pPr>
      <w:r w:rsidRPr="004A7EDA">
        <w:rPr>
          <w:lang w:val="en-GB"/>
        </w:rPr>
        <w:t>Agriculture Victoria developed the Agriculture</w:t>
      </w:r>
      <w:r w:rsidR="00C857CB">
        <w:rPr>
          <w:lang w:val="en-GB"/>
        </w:rPr>
        <w:t xml:space="preserve"> </w:t>
      </w:r>
      <w:r w:rsidRPr="004A7EDA">
        <w:rPr>
          <w:lang w:val="en-GB"/>
        </w:rPr>
        <w:t>Sector Pledge that commits to protect and</w:t>
      </w:r>
      <w:r w:rsidR="00C857CB">
        <w:rPr>
          <w:lang w:val="en-GB"/>
        </w:rPr>
        <w:t xml:space="preserve"> </w:t>
      </w:r>
      <w:r w:rsidRPr="004A7EDA">
        <w:rPr>
          <w:lang w:val="en-GB"/>
        </w:rPr>
        <w:t>enhance the future of the Victorian agriculture</w:t>
      </w:r>
      <w:r w:rsidR="00C857CB">
        <w:rPr>
          <w:lang w:val="en-GB"/>
        </w:rPr>
        <w:t xml:space="preserve"> </w:t>
      </w:r>
      <w:r w:rsidRPr="004A7EDA">
        <w:rPr>
          <w:lang w:val="en-GB"/>
        </w:rPr>
        <w:t xml:space="preserve">sector, respond to climate </w:t>
      </w:r>
      <w:proofErr w:type="gramStart"/>
      <w:r w:rsidRPr="004A7EDA">
        <w:rPr>
          <w:lang w:val="en-GB"/>
        </w:rPr>
        <w:t>change</w:t>
      </w:r>
      <w:proofErr w:type="gramEnd"/>
      <w:r w:rsidRPr="004A7EDA">
        <w:rPr>
          <w:lang w:val="en-GB"/>
        </w:rPr>
        <w:t xml:space="preserve"> and reduce</w:t>
      </w:r>
      <w:r w:rsidR="00C857CB">
        <w:rPr>
          <w:lang w:val="en-GB"/>
        </w:rPr>
        <w:t xml:space="preserve"> </w:t>
      </w:r>
      <w:r w:rsidRPr="004A7EDA">
        <w:rPr>
          <w:lang w:val="en-GB"/>
        </w:rPr>
        <w:t>emissions. The program is delivering a long-term</w:t>
      </w:r>
      <w:r w:rsidR="00C857CB">
        <w:rPr>
          <w:lang w:val="en-GB"/>
        </w:rPr>
        <w:t xml:space="preserve"> </w:t>
      </w:r>
      <w:r w:rsidRPr="004A7EDA">
        <w:rPr>
          <w:lang w:val="en-GB"/>
        </w:rPr>
        <w:t>vision, flagship research trials, and practical</w:t>
      </w:r>
      <w:r w:rsidR="00C857CB">
        <w:rPr>
          <w:lang w:val="en-GB"/>
        </w:rPr>
        <w:t xml:space="preserve"> </w:t>
      </w:r>
      <w:r w:rsidRPr="004A7EDA">
        <w:rPr>
          <w:lang w:val="en-GB"/>
        </w:rPr>
        <w:t xml:space="preserve">information, </w:t>
      </w:r>
      <w:proofErr w:type="gramStart"/>
      <w:r w:rsidRPr="004A7EDA">
        <w:rPr>
          <w:lang w:val="en-GB"/>
        </w:rPr>
        <w:t>tools</w:t>
      </w:r>
      <w:proofErr w:type="gramEnd"/>
      <w:r w:rsidRPr="004A7EDA">
        <w:rPr>
          <w:lang w:val="en-GB"/>
        </w:rPr>
        <w:t xml:space="preserve"> and services to help farmers reduce emissions while maintaining productivity.</w:t>
      </w:r>
    </w:p>
    <w:p w14:paraId="67BBB43E" w14:textId="77777777" w:rsidR="004A7EDA" w:rsidRPr="004A7EDA" w:rsidRDefault="004A7EDA" w:rsidP="004A7EDA">
      <w:pPr>
        <w:rPr>
          <w:lang w:val="en-GB"/>
        </w:rPr>
      </w:pPr>
      <w:r w:rsidRPr="004A7EDA">
        <w:rPr>
          <w:lang w:val="en-GB"/>
        </w:rPr>
        <w:t xml:space="preserve">Agriculture Victoria is shaping the future of agriculture through delivery of skills programs in Science, Technology, Engineering and Mathematics (STEM) and digital agriculture to schools, PhD students, agriculture industries and regional communities. In 2020–21, over 800 students were able to participate in </w:t>
      </w:r>
      <w:proofErr w:type="spellStart"/>
      <w:r w:rsidRPr="004A7EDA">
        <w:rPr>
          <w:lang w:val="en-GB"/>
        </w:rPr>
        <w:t>AgSTEM</w:t>
      </w:r>
      <w:proofErr w:type="spellEnd"/>
      <w:r w:rsidRPr="004A7EDA">
        <w:rPr>
          <w:lang w:val="en-GB"/>
        </w:rPr>
        <w:t xml:space="preserve"> workshops delivered remotely under COVID-19 restrictions.</w:t>
      </w:r>
    </w:p>
    <w:p w14:paraId="4F1DE3F9" w14:textId="77777777" w:rsidR="004A7EDA" w:rsidRPr="004A7EDA" w:rsidRDefault="004A7EDA" w:rsidP="00C857CB">
      <w:pPr>
        <w:pStyle w:val="Heading4"/>
        <w:rPr>
          <w:lang w:val="en-GB"/>
        </w:rPr>
      </w:pPr>
      <w:r w:rsidRPr="004A7EDA">
        <w:rPr>
          <w:lang w:val="en-GB"/>
        </w:rPr>
        <w:t>Indicator: Value of Victorian food and fibre exports</w:t>
      </w:r>
    </w:p>
    <w:p w14:paraId="48BFA68A" w14:textId="77777777" w:rsidR="004A7EDA" w:rsidRPr="004A7EDA" w:rsidRDefault="004A7EDA" w:rsidP="00C857CB">
      <w:pPr>
        <w:pStyle w:val="Heading5"/>
        <w:rPr>
          <w:lang w:val="en-GB"/>
        </w:rPr>
      </w:pPr>
      <w:r w:rsidRPr="004A7EDA">
        <w:rPr>
          <w:lang w:val="en-GB"/>
        </w:rPr>
        <w:t xml:space="preserve">Table 27: Value of </w:t>
      </w:r>
      <w:r w:rsidRPr="00C857CB">
        <w:t>Victorian</w:t>
      </w:r>
      <w:r w:rsidRPr="004A7EDA">
        <w:rPr>
          <w:lang w:val="en-GB"/>
        </w:rPr>
        <w:t xml:space="preserve"> food and fibre exports</w:t>
      </w:r>
    </w:p>
    <w:tbl>
      <w:tblPr>
        <w:tblW w:w="0" w:type="auto"/>
        <w:tblInd w:w="28" w:type="dxa"/>
        <w:tblLayout w:type="fixed"/>
        <w:tblCellMar>
          <w:left w:w="0" w:type="dxa"/>
          <w:right w:w="0" w:type="dxa"/>
        </w:tblCellMar>
        <w:tblLook w:val="0000" w:firstRow="0" w:lastRow="0" w:firstColumn="0" w:lastColumn="0" w:noHBand="0" w:noVBand="0"/>
      </w:tblPr>
      <w:tblGrid>
        <w:gridCol w:w="4447"/>
        <w:gridCol w:w="1443"/>
        <w:gridCol w:w="1443"/>
        <w:gridCol w:w="1441"/>
        <w:gridCol w:w="1443"/>
      </w:tblGrid>
      <w:tr w:rsidR="004A7EDA" w:rsidRPr="00286AE3" w14:paraId="010C63B0" w14:textId="77777777" w:rsidTr="0041342C">
        <w:trPr>
          <w:trHeight w:val="117"/>
        </w:trPr>
        <w:tc>
          <w:tcPr>
            <w:tcW w:w="444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B64E93A" w14:textId="77777777" w:rsidR="004A7EDA" w:rsidRPr="00286AE3" w:rsidRDefault="004A7EDA" w:rsidP="00286AE3">
            <w:pPr>
              <w:pStyle w:val="TableHeading"/>
            </w:pPr>
            <w:r w:rsidRPr="00286AE3">
              <w:t>Measure (unit of measure)</w:t>
            </w:r>
          </w:p>
        </w:tc>
        <w:tc>
          <w:tcPr>
            <w:tcW w:w="1443"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95441E4" w14:textId="77777777" w:rsidR="004A7EDA" w:rsidRPr="00286AE3" w:rsidRDefault="004A7EDA" w:rsidP="00286AE3">
            <w:pPr>
              <w:pStyle w:val="TableHeading"/>
            </w:pPr>
            <w:r w:rsidRPr="00286AE3">
              <w:t>2017–18</w:t>
            </w:r>
          </w:p>
        </w:tc>
        <w:tc>
          <w:tcPr>
            <w:tcW w:w="1443"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070B05A" w14:textId="77777777" w:rsidR="004A7EDA" w:rsidRPr="00286AE3" w:rsidRDefault="004A7EDA" w:rsidP="00286AE3">
            <w:pPr>
              <w:pStyle w:val="TableHeading"/>
            </w:pPr>
            <w:r w:rsidRPr="00286AE3">
              <w:t>2018–19</w:t>
            </w:r>
          </w:p>
        </w:tc>
        <w:tc>
          <w:tcPr>
            <w:tcW w:w="144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E2A5572" w14:textId="77777777" w:rsidR="004A7EDA" w:rsidRPr="00286AE3" w:rsidRDefault="004A7EDA" w:rsidP="00286AE3">
            <w:pPr>
              <w:pStyle w:val="TableHeading"/>
            </w:pPr>
            <w:r w:rsidRPr="00286AE3">
              <w:t>2019–20</w:t>
            </w:r>
          </w:p>
        </w:tc>
        <w:tc>
          <w:tcPr>
            <w:tcW w:w="1443"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91CCDB5" w14:textId="77777777" w:rsidR="004A7EDA" w:rsidRPr="00286AE3" w:rsidRDefault="004A7EDA" w:rsidP="00286AE3">
            <w:pPr>
              <w:pStyle w:val="TableHeading"/>
            </w:pPr>
            <w:r w:rsidRPr="00286AE3">
              <w:t>2020–21</w:t>
            </w:r>
          </w:p>
        </w:tc>
      </w:tr>
      <w:tr w:rsidR="004A7EDA" w:rsidRPr="004A7EDA" w14:paraId="57984960" w14:textId="77777777" w:rsidTr="0041342C">
        <w:trPr>
          <w:trHeight w:val="117"/>
        </w:trPr>
        <w:tc>
          <w:tcPr>
            <w:tcW w:w="444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358FCA0" w14:textId="4911CBBE" w:rsidR="004A7EDA" w:rsidRPr="004A7EDA" w:rsidRDefault="004A7EDA" w:rsidP="00286AE3">
            <w:pPr>
              <w:pStyle w:val="TableCopy"/>
              <w:rPr>
                <w:lang w:val="en-GB"/>
              </w:rPr>
            </w:pPr>
            <w:r w:rsidRPr="004A7EDA">
              <w:rPr>
                <w:lang w:val="en-GB"/>
              </w:rPr>
              <w:t>Food and fibre exports from Victoria</w:t>
            </w:r>
            <w:r w:rsidR="0041342C">
              <w:rPr>
                <w:lang w:val="en-GB"/>
              </w:rPr>
              <w:t xml:space="preserve"> </w:t>
            </w:r>
            <w:r w:rsidRPr="004A7EDA">
              <w:rPr>
                <w:lang w:val="en-GB"/>
              </w:rPr>
              <w:t>($ billion)</w:t>
            </w:r>
          </w:p>
        </w:tc>
        <w:tc>
          <w:tcPr>
            <w:tcW w:w="1443"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7E06DFB" w14:textId="77777777" w:rsidR="004A7EDA" w:rsidRPr="004A7EDA" w:rsidRDefault="004A7EDA" w:rsidP="00286AE3">
            <w:pPr>
              <w:pStyle w:val="TableCopy"/>
              <w:rPr>
                <w:lang w:val="en-GB"/>
              </w:rPr>
            </w:pPr>
            <w:r w:rsidRPr="004A7EDA">
              <w:rPr>
                <w:lang w:val="en-GB"/>
              </w:rPr>
              <w:t>14.1</w:t>
            </w:r>
          </w:p>
        </w:tc>
        <w:tc>
          <w:tcPr>
            <w:tcW w:w="1443"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7E7EBAF" w14:textId="77777777" w:rsidR="004A7EDA" w:rsidRPr="004A7EDA" w:rsidRDefault="004A7EDA" w:rsidP="00286AE3">
            <w:pPr>
              <w:pStyle w:val="TableCopy"/>
              <w:rPr>
                <w:lang w:val="en-GB"/>
              </w:rPr>
            </w:pPr>
            <w:r w:rsidRPr="004A7EDA">
              <w:rPr>
                <w:lang w:val="en-GB"/>
              </w:rPr>
              <w:t>14.2</w:t>
            </w:r>
          </w:p>
        </w:tc>
        <w:tc>
          <w:tcPr>
            <w:tcW w:w="144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7496693" w14:textId="77777777" w:rsidR="004A7EDA" w:rsidRPr="004A7EDA" w:rsidRDefault="004A7EDA" w:rsidP="00286AE3">
            <w:pPr>
              <w:pStyle w:val="TableCopy"/>
              <w:rPr>
                <w:lang w:val="en-GB"/>
              </w:rPr>
            </w:pPr>
            <w:r w:rsidRPr="004A7EDA">
              <w:rPr>
                <w:lang w:val="en-GB"/>
              </w:rPr>
              <w:t>14.5</w:t>
            </w:r>
          </w:p>
        </w:tc>
        <w:tc>
          <w:tcPr>
            <w:tcW w:w="1443"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5F0F29E" w14:textId="77777777" w:rsidR="004A7EDA" w:rsidRPr="004A7EDA" w:rsidRDefault="004A7EDA" w:rsidP="00286AE3">
            <w:pPr>
              <w:pStyle w:val="TableCopy"/>
              <w:rPr>
                <w:lang w:val="en-GB"/>
              </w:rPr>
            </w:pPr>
            <w:r w:rsidRPr="004A7EDA">
              <w:rPr>
                <w:lang w:val="en-GB"/>
              </w:rPr>
              <w:t>Data available May 2022</w:t>
            </w:r>
          </w:p>
        </w:tc>
      </w:tr>
    </w:tbl>
    <w:p w14:paraId="2B4E70F0" w14:textId="77777777" w:rsidR="004A7EDA" w:rsidRPr="004A7EDA" w:rsidRDefault="004A7EDA" w:rsidP="00C857CB">
      <w:pPr>
        <w:pStyle w:val="Heading5"/>
        <w:rPr>
          <w:lang w:val="en-GB"/>
        </w:rPr>
      </w:pPr>
      <w:r w:rsidRPr="004A7EDA">
        <w:rPr>
          <w:lang w:val="en-GB"/>
        </w:rPr>
        <w:t>Figure 24: Food and fibre exports from Victoria</w:t>
      </w:r>
    </w:p>
    <w:p w14:paraId="7B4F6DEB" w14:textId="4F75AB19" w:rsidR="004A7EDA" w:rsidRPr="004A7EDA" w:rsidRDefault="00C857CB" w:rsidP="004A7EDA">
      <w:pPr>
        <w:rPr>
          <w:lang w:val="en-GB"/>
        </w:rPr>
      </w:pPr>
      <w:r>
        <w:rPr>
          <w:noProof/>
          <w:lang w:val="en-GB"/>
        </w:rPr>
        <w:lastRenderedPageBreak/>
        <w:drawing>
          <wp:inline distT="0" distB="0" distL="0" distR="0" wp14:anchorId="7031BAFE" wp14:editId="2127CE80">
            <wp:extent cx="2895600" cy="1869622"/>
            <wp:effectExtent l="0" t="0" r="0" b="0"/>
            <wp:docPr id="24" name="Picture 24" descr="Chart&#10;&#10;Food and fibre exports from Victoria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10;&#10;Food and fibre exports from Victoria 2017-2020"/>
                    <pic:cNvPicPr/>
                  </pic:nvPicPr>
                  <pic:blipFill rotWithShape="1">
                    <a:blip r:embed="rId35"/>
                    <a:srcRect b="25272"/>
                    <a:stretch/>
                  </pic:blipFill>
                  <pic:spPr bwMode="auto">
                    <a:xfrm>
                      <a:off x="0" y="0"/>
                      <a:ext cx="2895600" cy="1869622"/>
                    </a:xfrm>
                    <a:prstGeom prst="rect">
                      <a:avLst/>
                    </a:prstGeom>
                    <a:ln>
                      <a:noFill/>
                    </a:ln>
                    <a:extLst>
                      <a:ext uri="{53640926-AAD7-44D8-BBD7-CCE9431645EC}">
                        <a14:shadowObscured xmlns:a14="http://schemas.microsoft.com/office/drawing/2010/main"/>
                      </a:ext>
                    </a:extLst>
                  </pic:spPr>
                </pic:pic>
              </a:graphicData>
            </a:graphic>
          </wp:inline>
        </w:drawing>
      </w:r>
    </w:p>
    <w:p w14:paraId="68988C53" w14:textId="6EDC3287" w:rsidR="004A7EDA" w:rsidRPr="004A7EDA" w:rsidRDefault="004A7EDA" w:rsidP="004A7EDA">
      <w:pPr>
        <w:rPr>
          <w:lang w:val="en-GB"/>
        </w:rPr>
      </w:pPr>
      <w:r w:rsidRPr="004A7EDA">
        <w:rPr>
          <w:lang w:val="en-GB"/>
        </w:rPr>
        <w:t>The government has a target to grow Victorian</w:t>
      </w:r>
      <w:r w:rsidR="00C857CB">
        <w:rPr>
          <w:lang w:val="en-GB"/>
        </w:rPr>
        <w:t xml:space="preserve"> </w:t>
      </w:r>
      <w:r w:rsidRPr="004A7EDA">
        <w:rPr>
          <w:lang w:val="en-GB"/>
        </w:rPr>
        <w:t>food and fibre exports to $20 billion per annum</w:t>
      </w:r>
      <w:r w:rsidR="00C857CB">
        <w:rPr>
          <w:lang w:val="en-GB"/>
        </w:rPr>
        <w:t xml:space="preserve"> </w:t>
      </w:r>
      <w:r w:rsidRPr="004A7EDA">
        <w:rPr>
          <w:lang w:val="en-GB"/>
        </w:rPr>
        <w:t>by 2030. In 2019–20, Victoria maintained its strong</w:t>
      </w:r>
      <w:r w:rsidR="00C857CB">
        <w:rPr>
          <w:lang w:val="en-GB"/>
        </w:rPr>
        <w:t xml:space="preserve"> </w:t>
      </w:r>
      <w:r w:rsidRPr="004A7EDA">
        <w:rPr>
          <w:lang w:val="en-GB"/>
        </w:rPr>
        <w:t>export performance, generating food and fibre</w:t>
      </w:r>
      <w:r w:rsidR="00C857CB">
        <w:rPr>
          <w:lang w:val="en-GB"/>
        </w:rPr>
        <w:t xml:space="preserve"> </w:t>
      </w:r>
      <w:r w:rsidRPr="004A7EDA">
        <w:rPr>
          <w:lang w:val="en-GB"/>
        </w:rPr>
        <w:t>exports valued at $14.5 billion despite challenges</w:t>
      </w:r>
      <w:r w:rsidR="00C857CB">
        <w:rPr>
          <w:lang w:val="en-GB"/>
        </w:rPr>
        <w:t xml:space="preserve"> </w:t>
      </w:r>
      <w:r w:rsidRPr="004A7EDA">
        <w:rPr>
          <w:lang w:val="en-GB"/>
        </w:rPr>
        <w:t xml:space="preserve">caused by COVID-19, </w:t>
      </w:r>
      <w:proofErr w:type="gramStart"/>
      <w:r w:rsidRPr="004A7EDA">
        <w:rPr>
          <w:lang w:val="en-GB"/>
        </w:rPr>
        <w:t>drought</w:t>
      </w:r>
      <w:proofErr w:type="gramEnd"/>
      <w:r w:rsidRPr="004A7EDA">
        <w:rPr>
          <w:lang w:val="en-GB"/>
        </w:rPr>
        <w:t xml:space="preserve"> and dry seasonal</w:t>
      </w:r>
      <w:r w:rsidR="00C857CB">
        <w:rPr>
          <w:lang w:val="en-GB"/>
        </w:rPr>
        <w:t xml:space="preserve"> </w:t>
      </w:r>
      <w:r w:rsidRPr="004A7EDA">
        <w:rPr>
          <w:lang w:val="en-GB"/>
        </w:rPr>
        <w:t>conditions. This was an increase of nearly</w:t>
      </w:r>
      <w:r w:rsidR="00C857CB">
        <w:rPr>
          <w:lang w:val="en-GB"/>
        </w:rPr>
        <w:t xml:space="preserve"> </w:t>
      </w:r>
      <w:r w:rsidRPr="004A7EDA">
        <w:rPr>
          <w:lang w:val="en-GB"/>
        </w:rPr>
        <w:t>$300 million (two per cent) on the previous year</w:t>
      </w:r>
      <w:r w:rsidR="00C857CB">
        <w:rPr>
          <w:lang w:val="en-GB"/>
        </w:rPr>
        <w:t xml:space="preserve"> </w:t>
      </w:r>
      <w:r w:rsidRPr="004A7EDA">
        <w:rPr>
          <w:lang w:val="en-GB"/>
        </w:rPr>
        <w:t>– keeping Victoria as the nation’s largest food</w:t>
      </w:r>
      <w:r w:rsidR="00C857CB">
        <w:rPr>
          <w:lang w:val="en-GB"/>
        </w:rPr>
        <w:t xml:space="preserve"> </w:t>
      </w:r>
      <w:r w:rsidRPr="004A7EDA">
        <w:rPr>
          <w:lang w:val="en-GB"/>
        </w:rPr>
        <w:t>and fibre exporter with 28 per cent of the national</w:t>
      </w:r>
      <w:r w:rsidR="00C857CB">
        <w:rPr>
          <w:lang w:val="en-GB"/>
        </w:rPr>
        <w:t xml:space="preserve"> </w:t>
      </w:r>
      <w:r w:rsidRPr="004A7EDA">
        <w:rPr>
          <w:lang w:val="en-GB"/>
        </w:rPr>
        <w:t>total. China was Victoria’s largest food and fibre</w:t>
      </w:r>
      <w:r w:rsidR="00C857CB">
        <w:rPr>
          <w:lang w:val="en-GB"/>
        </w:rPr>
        <w:t xml:space="preserve"> </w:t>
      </w:r>
      <w:r w:rsidRPr="004A7EDA">
        <w:rPr>
          <w:lang w:val="en-GB"/>
        </w:rPr>
        <w:t>export destination at $4.8 billion.</w:t>
      </w:r>
    </w:p>
    <w:p w14:paraId="3F4C34E7" w14:textId="77777777" w:rsidR="004A7EDA" w:rsidRPr="004A7EDA" w:rsidRDefault="004A7EDA" w:rsidP="004A7EDA">
      <w:pPr>
        <w:rPr>
          <w:lang w:val="en-GB"/>
        </w:rPr>
      </w:pPr>
      <w:r w:rsidRPr="004A7EDA">
        <w:rPr>
          <w:lang w:val="en-GB"/>
        </w:rPr>
        <w:t>Food and fibre exports from Victoria represented almost half (47 per cent) of all Victoria’s goods exports in 2019–20. Victoria’s top five valuable food exports are meat ($4.7 billion), dairy ($2.1 billion), horticulture ($1.6 billion), prepared foods ($1.3 billion) and grains ($1.1 billion).</w:t>
      </w:r>
    </w:p>
    <w:p w14:paraId="69965935" w14:textId="029A043F" w:rsidR="004A7EDA" w:rsidRPr="004A7EDA" w:rsidRDefault="004A7EDA" w:rsidP="004A7EDA">
      <w:pPr>
        <w:rPr>
          <w:lang w:val="en-GB"/>
        </w:rPr>
      </w:pPr>
      <w:r w:rsidRPr="004A7EDA">
        <w:rPr>
          <w:lang w:val="en-GB"/>
        </w:rPr>
        <w:t>Export performance for Victorian meat products remained strong despite challenging domestic conditions, with export value increasing from $4.1 billion in 2018–19 to $4.7 billion in 2019–20,</w:t>
      </w:r>
      <w:r w:rsidR="00C857CB">
        <w:rPr>
          <w:lang w:val="en-GB"/>
        </w:rPr>
        <w:t xml:space="preserve"> </w:t>
      </w:r>
      <w:r w:rsidRPr="004A7EDA">
        <w:rPr>
          <w:lang w:val="en-GB"/>
        </w:rPr>
        <w:t>an increase of $600 million (14 per cent).</w:t>
      </w:r>
      <w:r w:rsidR="00C857CB">
        <w:rPr>
          <w:lang w:val="en-GB"/>
        </w:rPr>
        <w:t xml:space="preserve"> </w:t>
      </w:r>
      <w:r w:rsidRPr="004A7EDA">
        <w:rPr>
          <w:lang w:val="en-GB"/>
        </w:rPr>
        <w:t>Beef ($2.9 billion – total farm gate production) and sheep meat ($2.2 billion – total farm gate production) were the most valuable meat</w:t>
      </w:r>
      <w:r w:rsidR="00C857CB">
        <w:rPr>
          <w:lang w:val="en-GB"/>
        </w:rPr>
        <w:t xml:space="preserve"> </w:t>
      </w:r>
      <w:r w:rsidRPr="004A7EDA">
        <w:rPr>
          <w:lang w:val="en-GB"/>
        </w:rPr>
        <w:t>export categories.</w:t>
      </w:r>
    </w:p>
    <w:p w14:paraId="47E9378C" w14:textId="77777777" w:rsidR="004A7EDA" w:rsidRPr="004A7EDA" w:rsidRDefault="004A7EDA" w:rsidP="004A7EDA">
      <w:pPr>
        <w:rPr>
          <w:lang w:val="en-GB"/>
        </w:rPr>
      </w:pPr>
      <w:r w:rsidRPr="004A7EDA">
        <w:rPr>
          <w:lang w:val="en-GB"/>
        </w:rPr>
        <w:t>The value of fibre exports decreased by $1.7 billion on the previous year to $1.4 billion in response to market volatility and seasonal conditions. Victoria is the largest wool producing state and the largest wool exporter, producing 28 per cent of Australia’s total wool and accounting for 52 per cent of the nation’s exports in 2019–20.</w:t>
      </w:r>
    </w:p>
    <w:p w14:paraId="268FEF7F" w14:textId="0C0EE293" w:rsidR="004A7EDA" w:rsidRPr="0041342C" w:rsidRDefault="004A7EDA" w:rsidP="0041342C">
      <w:pPr>
        <w:pStyle w:val="Heading4"/>
        <w:rPr>
          <w:lang w:val="en-GB"/>
        </w:rPr>
      </w:pPr>
      <w:r w:rsidRPr="004A7EDA">
        <w:rPr>
          <w:lang w:val="en-GB"/>
        </w:rPr>
        <w:t>Indicator: Metres drilled for minerals exploration in Victoria</w:t>
      </w:r>
    </w:p>
    <w:p w14:paraId="7AE3AB88" w14:textId="77777777" w:rsidR="004A7EDA" w:rsidRPr="004A7EDA" w:rsidRDefault="004A7EDA" w:rsidP="00C857CB">
      <w:pPr>
        <w:pStyle w:val="Heading5"/>
        <w:rPr>
          <w:lang w:val="en-GB"/>
        </w:rPr>
      </w:pPr>
      <w:r w:rsidRPr="004A7EDA">
        <w:rPr>
          <w:lang w:val="en-GB"/>
        </w:rPr>
        <w:t>Table 28: Metres drilled for minerals exploration in Victoria</w:t>
      </w:r>
    </w:p>
    <w:tbl>
      <w:tblPr>
        <w:tblW w:w="0" w:type="auto"/>
        <w:tblInd w:w="28" w:type="dxa"/>
        <w:tblLayout w:type="fixed"/>
        <w:tblCellMar>
          <w:left w:w="0" w:type="dxa"/>
          <w:right w:w="0" w:type="dxa"/>
        </w:tblCellMar>
        <w:tblLook w:val="0000" w:firstRow="0" w:lastRow="0" w:firstColumn="0" w:lastColumn="0" w:noHBand="0" w:noVBand="0"/>
      </w:tblPr>
      <w:tblGrid>
        <w:gridCol w:w="4477"/>
        <w:gridCol w:w="1452"/>
        <w:gridCol w:w="1452"/>
        <w:gridCol w:w="1451"/>
        <w:gridCol w:w="1452"/>
      </w:tblGrid>
      <w:tr w:rsidR="004A7EDA" w:rsidRPr="004A7EDA" w14:paraId="58C64132" w14:textId="77777777" w:rsidTr="0041342C">
        <w:trPr>
          <w:trHeight w:val="57"/>
        </w:trPr>
        <w:tc>
          <w:tcPr>
            <w:tcW w:w="447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B387CCA" w14:textId="77777777" w:rsidR="004A7EDA" w:rsidRPr="004A7EDA" w:rsidRDefault="004A7EDA" w:rsidP="00286AE3">
            <w:pPr>
              <w:pStyle w:val="TableHeading"/>
              <w:rPr>
                <w:lang w:val="en-GB"/>
              </w:rPr>
            </w:pPr>
            <w:r w:rsidRPr="004A7EDA">
              <w:rPr>
                <w:lang w:val="en-GB"/>
              </w:rPr>
              <w:t>Measure (unit of measure)</w:t>
            </w:r>
          </w:p>
        </w:tc>
        <w:tc>
          <w:tcPr>
            <w:tcW w:w="145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111818F1" w14:textId="77777777" w:rsidR="004A7EDA" w:rsidRPr="004A7EDA" w:rsidRDefault="004A7EDA" w:rsidP="00286AE3">
            <w:pPr>
              <w:pStyle w:val="TableHeading"/>
              <w:rPr>
                <w:lang w:val="en-GB"/>
              </w:rPr>
            </w:pPr>
            <w:r w:rsidRPr="004A7EDA">
              <w:rPr>
                <w:lang w:val="en-GB"/>
              </w:rPr>
              <w:t>2017–18</w:t>
            </w:r>
          </w:p>
        </w:tc>
        <w:tc>
          <w:tcPr>
            <w:tcW w:w="145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4819AEF" w14:textId="77777777" w:rsidR="004A7EDA" w:rsidRPr="004A7EDA" w:rsidRDefault="004A7EDA" w:rsidP="00286AE3">
            <w:pPr>
              <w:pStyle w:val="TableHeading"/>
              <w:rPr>
                <w:lang w:val="en-GB"/>
              </w:rPr>
            </w:pPr>
            <w:r w:rsidRPr="004A7EDA">
              <w:rPr>
                <w:lang w:val="en-GB"/>
              </w:rPr>
              <w:t>2018–19</w:t>
            </w:r>
          </w:p>
        </w:tc>
        <w:tc>
          <w:tcPr>
            <w:tcW w:w="145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B21A44E" w14:textId="77777777" w:rsidR="004A7EDA" w:rsidRPr="004A7EDA" w:rsidRDefault="004A7EDA" w:rsidP="00286AE3">
            <w:pPr>
              <w:pStyle w:val="TableHeading"/>
              <w:rPr>
                <w:lang w:val="en-GB"/>
              </w:rPr>
            </w:pPr>
            <w:r w:rsidRPr="004A7EDA">
              <w:rPr>
                <w:lang w:val="en-GB"/>
              </w:rPr>
              <w:t>2019–20</w:t>
            </w:r>
          </w:p>
        </w:tc>
        <w:tc>
          <w:tcPr>
            <w:tcW w:w="145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4A92A3D" w14:textId="77777777" w:rsidR="004A7EDA" w:rsidRPr="004A7EDA" w:rsidRDefault="004A7EDA" w:rsidP="00286AE3">
            <w:pPr>
              <w:pStyle w:val="TableHeading"/>
              <w:rPr>
                <w:lang w:val="en-GB"/>
              </w:rPr>
            </w:pPr>
            <w:r w:rsidRPr="004A7EDA">
              <w:rPr>
                <w:lang w:val="en-GB"/>
              </w:rPr>
              <w:t>2020–21</w:t>
            </w:r>
          </w:p>
        </w:tc>
      </w:tr>
      <w:tr w:rsidR="004A7EDA" w:rsidRPr="004A7EDA" w14:paraId="5C7B4AB7" w14:textId="77777777" w:rsidTr="0041342C">
        <w:trPr>
          <w:trHeight w:val="57"/>
        </w:trPr>
        <w:tc>
          <w:tcPr>
            <w:tcW w:w="447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8C00F9A" w14:textId="77777777" w:rsidR="004A7EDA" w:rsidRPr="004A7EDA" w:rsidRDefault="004A7EDA" w:rsidP="00286AE3">
            <w:pPr>
              <w:pStyle w:val="TableCopy"/>
              <w:rPr>
                <w:lang w:val="en-GB"/>
              </w:rPr>
            </w:pPr>
            <w:r w:rsidRPr="004A7EDA">
              <w:rPr>
                <w:lang w:val="en-GB"/>
              </w:rPr>
              <w:t>Metres drilled for minerals exploration in Victoria (metres)</w:t>
            </w:r>
          </w:p>
        </w:tc>
        <w:tc>
          <w:tcPr>
            <w:tcW w:w="145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B236B21" w14:textId="77777777" w:rsidR="004A7EDA" w:rsidRPr="004A7EDA" w:rsidRDefault="004A7EDA" w:rsidP="00286AE3">
            <w:pPr>
              <w:pStyle w:val="TableCopy"/>
              <w:rPr>
                <w:lang w:val="en-GB"/>
              </w:rPr>
            </w:pPr>
            <w:r w:rsidRPr="004A7EDA">
              <w:rPr>
                <w:lang w:val="en-GB"/>
              </w:rPr>
              <w:t>191,229</w:t>
            </w:r>
          </w:p>
        </w:tc>
        <w:tc>
          <w:tcPr>
            <w:tcW w:w="145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8D17ED8" w14:textId="77777777" w:rsidR="004A7EDA" w:rsidRPr="004A7EDA" w:rsidRDefault="004A7EDA" w:rsidP="00286AE3">
            <w:pPr>
              <w:pStyle w:val="TableCopy"/>
              <w:rPr>
                <w:lang w:val="en-GB"/>
              </w:rPr>
            </w:pPr>
            <w:r w:rsidRPr="004A7EDA">
              <w:rPr>
                <w:lang w:val="en-GB"/>
              </w:rPr>
              <w:t>337,654</w:t>
            </w:r>
          </w:p>
        </w:tc>
        <w:tc>
          <w:tcPr>
            <w:tcW w:w="1451"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7FC049A" w14:textId="77777777" w:rsidR="004A7EDA" w:rsidRPr="004A7EDA" w:rsidRDefault="004A7EDA" w:rsidP="00286AE3">
            <w:pPr>
              <w:pStyle w:val="TableCopy"/>
              <w:rPr>
                <w:lang w:val="en-GB"/>
              </w:rPr>
            </w:pPr>
            <w:r w:rsidRPr="004A7EDA">
              <w:rPr>
                <w:lang w:val="en-GB"/>
              </w:rPr>
              <w:t xml:space="preserve">388,662 </w:t>
            </w:r>
          </w:p>
        </w:tc>
        <w:tc>
          <w:tcPr>
            <w:tcW w:w="1452"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2A496382" w14:textId="77777777" w:rsidR="004A7EDA" w:rsidRPr="004A7EDA" w:rsidRDefault="004A7EDA" w:rsidP="00286AE3">
            <w:pPr>
              <w:pStyle w:val="TableCopy"/>
              <w:rPr>
                <w:lang w:val="en-GB"/>
              </w:rPr>
            </w:pPr>
            <w:r w:rsidRPr="004A7EDA">
              <w:rPr>
                <w:lang w:val="en-GB"/>
              </w:rPr>
              <w:t>Data available November 2021</w:t>
            </w:r>
          </w:p>
        </w:tc>
      </w:tr>
    </w:tbl>
    <w:p w14:paraId="4E876130" w14:textId="77777777" w:rsidR="004A7EDA" w:rsidRPr="004A7EDA" w:rsidRDefault="004A7EDA" w:rsidP="00286AE3">
      <w:pPr>
        <w:rPr>
          <w:lang w:val="en-GB"/>
        </w:rPr>
      </w:pPr>
      <w:r w:rsidRPr="004A7EDA">
        <w:rPr>
          <w:b/>
          <w:bCs/>
          <w:lang w:val="en-GB"/>
        </w:rPr>
        <w:t>Source:</w:t>
      </w:r>
      <w:r w:rsidRPr="004A7EDA">
        <w:rPr>
          <w:lang w:val="en-GB"/>
        </w:rPr>
        <w:t xml:space="preserve"> Geological Survey of Victoria, (GSV) mineral companies’ exploration reports that GSV is required to audit.</w:t>
      </w:r>
    </w:p>
    <w:p w14:paraId="3AA85C49" w14:textId="77777777" w:rsidR="004A7EDA" w:rsidRPr="004A7EDA" w:rsidRDefault="004A7EDA" w:rsidP="00D54570">
      <w:pPr>
        <w:pStyle w:val="Heading5"/>
        <w:rPr>
          <w:lang w:val="en-GB"/>
        </w:rPr>
      </w:pPr>
      <w:r w:rsidRPr="004A7EDA">
        <w:rPr>
          <w:lang w:val="en-GB"/>
        </w:rPr>
        <w:t xml:space="preserve">Figure 25: Metres </w:t>
      </w:r>
      <w:r w:rsidRPr="00D54570">
        <w:t>drilled</w:t>
      </w:r>
      <w:r w:rsidRPr="004A7EDA">
        <w:rPr>
          <w:lang w:val="en-GB"/>
        </w:rPr>
        <w:t xml:space="preserve"> for minerals exploration in Victoria</w:t>
      </w:r>
    </w:p>
    <w:p w14:paraId="67E92666" w14:textId="6C62A0E9" w:rsidR="004A7EDA" w:rsidRPr="004A7EDA" w:rsidRDefault="00D54570" w:rsidP="004A7EDA">
      <w:pPr>
        <w:rPr>
          <w:lang w:val="en-GB"/>
        </w:rPr>
      </w:pPr>
      <w:r>
        <w:rPr>
          <w:noProof/>
          <w:lang w:val="en-GB"/>
        </w:rPr>
        <w:drawing>
          <wp:inline distT="0" distB="0" distL="0" distR="0" wp14:anchorId="1EC40874" wp14:editId="36F9D712">
            <wp:extent cx="2895600" cy="1918607"/>
            <wp:effectExtent l="0" t="0" r="0" b="0"/>
            <wp:docPr id="25" name="Picture 25" descr="Chart, line chart&#10;&#10;Metres drilled for minerals exploration in Victoria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line chart&#10;&#10;Metres drilled for minerals exploration in Victoria 2017-2020"/>
                    <pic:cNvPicPr/>
                  </pic:nvPicPr>
                  <pic:blipFill rotWithShape="1">
                    <a:blip r:embed="rId36"/>
                    <a:srcRect b="23314"/>
                    <a:stretch/>
                  </pic:blipFill>
                  <pic:spPr bwMode="auto">
                    <a:xfrm>
                      <a:off x="0" y="0"/>
                      <a:ext cx="2895600" cy="1918607"/>
                    </a:xfrm>
                    <a:prstGeom prst="rect">
                      <a:avLst/>
                    </a:prstGeom>
                    <a:ln>
                      <a:noFill/>
                    </a:ln>
                    <a:extLst>
                      <a:ext uri="{53640926-AAD7-44D8-BBD7-CCE9431645EC}">
                        <a14:shadowObscured xmlns:a14="http://schemas.microsoft.com/office/drawing/2010/main"/>
                      </a:ext>
                    </a:extLst>
                  </pic:spPr>
                </pic:pic>
              </a:graphicData>
            </a:graphic>
          </wp:inline>
        </w:drawing>
      </w:r>
    </w:p>
    <w:p w14:paraId="7672F4A3" w14:textId="77777777" w:rsidR="004A7EDA" w:rsidRPr="004A7EDA" w:rsidRDefault="004A7EDA" w:rsidP="004A7EDA">
      <w:pPr>
        <w:rPr>
          <w:lang w:val="en-GB"/>
        </w:rPr>
      </w:pPr>
      <w:r w:rsidRPr="004A7EDA">
        <w:rPr>
          <w:lang w:val="en-GB"/>
        </w:rPr>
        <w:t>The level of metres drilled for minerals exploration in Victoria during 2019–20 was 388,662 metres. This represents an increase of 51,009 metres or 15.1 per cent compared to 2018–19. The increased level of minerals drilling in 2019–20 reflects a combination of drilling at existing mining licences (</w:t>
      </w:r>
      <w:proofErr w:type="gramStart"/>
      <w:r w:rsidRPr="004A7EDA">
        <w:rPr>
          <w:lang w:val="en-GB"/>
        </w:rPr>
        <w:t>i.e.</w:t>
      </w:r>
      <w:proofErr w:type="gramEnd"/>
      <w:r w:rsidRPr="004A7EDA">
        <w:rPr>
          <w:lang w:val="en-GB"/>
        </w:rPr>
        <w:t xml:space="preserve"> operations) such the Fosterville, </w:t>
      </w:r>
      <w:proofErr w:type="spellStart"/>
      <w:r w:rsidRPr="004A7EDA">
        <w:rPr>
          <w:lang w:val="en-GB"/>
        </w:rPr>
        <w:t>Stawell</w:t>
      </w:r>
      <w:proofErr w:type="spellEnd"/>
      <w:r w:rsidRPr="004A7EDA">
        <w:rPr>
          <w:lang w:val="en-GB"/>
        </w:rPr>
        <w:t xml:space="preserve"> and Ballarat East mines and increased mineral exploration drilling activity for new resources</w:t>
      </w:r>
      <w:r w:rsidRPr="004A7EDA">
        <w:rPr>
          <w:lang w:val="en-GB"/>
        </w:rPr>
        <w:br/>
        <w:t>across the State.</w:t>
      </w:r>
    </w:p>
    <w:p w14:paraId="6F887035" w14:textId="42E709A1" w:rsidR="004A7EDA" w:rsidRPr="004A7EDA" w:rsidRDefault="004A7EDA" w:rsidP="004A7EDA">
      <w:pPr>
        <w:rPr>
          <w:lang w:val="en-GB"/>
        </w:rPr>
      </w:pPr>
      <w:r w:rsidRPr="004A7EDA">
        <w:rPr>
          <w:lang w:val="en-GB"/>
        </w:rPr>
        <w:t>Mineral exploration on mining licences accounts</w:t>
      </w:r>
      <w:r w:rsidR="00D54570">
        <w:rPr>
          <w:lang w:val="en-GB"/>
        </w:rPr>
        <w:t xml:space="preserve"> </w:t>
      </w:r>
      <w:r w:rsidRPr="004A7EDA">
        <w:rPr>
          <w:lang w:val="en-GB"/>
        </w:rPr>
        <w:t>for 58 per cent of the drill metres, this reflects existing operations investing in exploration with</w:t>
      </w:r>
      <w:r w:rsidR="00D54570">
        <w:rPr>
          <w:lang w:val="en-GB"/>
        </w:rPr>
        <w:t xml:space="preserve"> </w:t>
      </w:r>
      <w:r w:rsidRPr="004A7EDA">
        <w:rPr>
          <w:lang w:val="en-GB"/>
        </w:rPr>
        <w:t xml:space="preserve">the aim of replacing the resource that has been mined to deliver future production opportunities. Mineral </w:t>
      </w:r>
      <w:r w:rsidRPr="004A7EDA">
        <w:rPr>
          <w:lang w:val="en-GB"/>
        </w:rPr>
        <w:lastRenderedPageBreak/>
        <w:t>exploration drilling on exploration licences accounts for 33 per cent of the metres drilled</w:t>
      </w:r>
      <w:r w:rsidR="00D54570">
        <w:rPr>
          <w:lang w:val="en-GB"/>
        </w:rPr>
        <w:t xml:space="preserve"> </w:t>
      </w:r>
      <w:r w:rsidRPr="004A7EDA">
        <w:rPr>
          <w:lang w:val="en-GB"/>
        </w:rPr>
        <w:t>in 2020–21 and combined with retention licences</w:t>
      </w:r>
      <w:r w:rsidR="00D54570">
        <w:rPr>
          <w:lang w:val="en-GB"/>
        </w:rPr>
        <w:t xml:space="preserve"> </w:t>
      </w:r>
      <w:r w:rsidRPr="004A7EDA">
        <w:rPr>
          <w:lang w:val="en-GB"/>
        </w:rPr>
        <w:t>has increased year on year since 2014–15,</w:t>
      </w:r>
      <w:r w:rsidR="00D54570">
        <w:rPr>
          <w:lang w:val="en-GB"/>
        </w:rPr>
        <w:t xml:space="preserve"> </w:t>
      </w:r>
      <w:r w:rsidRPr="004A7EDA">
        <w:rPr>
          <w:lang w:val="en-GB"/>
        </w:rPr>
        <w:t>which highlights the increasing level of interest and investment to discover new mineral resources in Victoria. Retention licences account for the remaining nine per cent.</w:t>
      </w:r>
    </w:p>
    <w:p w14:paraId="60458236" w14:textId="4253A659" w:rsidR="004A7EDA" w:rsidRPr="004A7EDA" w:rsidRDefault="004A7EDA" w:rsidP="004A7EDA">
      <w:pPr>
        <w:rPr>
          <w:lang w:val="en-GB"/>
        </w:rPr>
      </w:pPr>
      <w:r w:rsidRPr="004A7EDA">
        <w:rPr>
          <w:lang w:val="en-GB"/>
        </w:rPr>
        <w:t>The level of metres drilled for minerals exploration has more than quadrupled since 2014–15 reflecting the renewed interest for exploring in Victoria.</w:t>
      </w:r>
      <w:r w:rsidR="00D54570">
        <w:rPr>
          <w:lang w:val="en-GB"/>
        </w:rPr>
        <w:t xml:space="preserve"> </w:t>
      </w:r>
      <w:r w:rsidRPr="004A7EDA">
        <w:rPr>
          <w:lang w:val="en-GB"/>
        </w:rPr>
        <w:t xml:space="preserve">The </w:t>
      </w:r>
      <w:proofErr w:type="spellStart"/>
      <w:r w:rsidRPr="004A7EDA">
        <w:rPr>
          <w:lang w:val="en-GB"/>
        </w:rPr>
        <w:t>Stavely</w:t>
      </w:r>
      <w:proofErr w:type="spellEnd"/>
      <w:r w:rsidRPr="004A7EDA">
        <w:rPr>
          <w:lang w:val="en-GB"/>
        </w:rPr>
        <w:t xml:space="preserve"> Minerals Exploration Initiative in western Victoria and the north central Victorian goldfields ground release, supported by world class pre-competitive geoscience data and knowledge (generated and made available by the Geological Survey of Victoria), are attracting further exploration investment to the state. This is demonstrated through the $114 million increase in mineral exploration since 2014–15, with Victoria experiencing record levels of exploration investment. Total exploration for 2019–20 was $136.5 million. This has continued in 2020–21 with the nine months to March generating exploration investment of $129.2 million. The March 2021 quarter expenditure for Victorian minerals exploration was $51.5 million, the highest ever recorded.</w:t>
      </w:r>
    </w:p>
    <w:p w14:paraId="7351F612" w14:textId="1E216CCA" w:rsidR="004A7EDA" w:rsidRPr="004A7EDA" w:rsidRDefault="004A7EDA" w:rsidP="00D54570">
      <w:pPr>
        <w:pStyle w:val="Heading4"/>
        <w:rPr>
          <w:lang w:val="en-GB"/>
        </w:rPr>
      </w:pPr>
      <w:r w:rsidRPr="004A7EDA">
        <w:rPr>
          <w:lang w:val="en-GB"/>
        </w:rPr>
        <w:t>Indicator: Level of production of minerals and extractives</w:t>
      </w:r>
    </w:p>
    <w:p w14:paraId="2A59FA1D" w14:textId="77777777" w:rsidR="004A7EDA" w:rsidRPr="004A7EDA" w:rsidRDefault="004A7EDA" w:rsidP="00D54570">
      <w:pPr>
        <w:pStyle w:val="Heading5"/>
        <w:rPr>
          <w:lang w:val="en-GB"/>
        </w:rPr>
      </w:pPr>
      <w:r w:rsidRPr="004A7EDA">
        <w:rPr>
          <w:lang w:val="en-GB"/>
        </w:rPr>
        <w:t>Table 29: Level of production of minerals and extractives</w:t>
      </w:r>
    </w:p>
    <w:tbl>
      <w:tblPr>
        <w:tblW w:w="0" w:type="auto"/>
        <w:tblInd w:w="28" w:type="dxa"/>
        <w:tblLayout w:type="fixed"/>
        <w:tblCellMar>
          <w:left w:w="0" w:type="dxa"/>
          <w:right w:w="0" w:type="dxa"/>
        </w:tblCellMar>
        <w:tblLook w:val="0000" w:firstRow="0" w:lastRow="0" w:firstColumn="0" w:lastColumn="0" w:noHBand="0" w:noVBand="0"/>
      </w:tblPr>
      <w:tblGrid>
        <w:gridCol w:w="4437"/>
        <w:gridCol w:w="1434"/>
        <w:gridCol w:w="1434"/>
        <w:gridCol w:w="1433"/>
        <w:gridCol w:w="1434"/>
      </w:tblGrid>
      <w:tr w:rsidR="004A7EDA" w:rsidRPr="00286AE3" w14:paraId="2CDA9F10" w14:textId="77777777" w:rsidTr="00D50C66">
        <w:trPr>
          <w:trHeight w:val="113"/>
        </w:trPr>
        <w:tc>
          <w:tcPr>
            <w:tcW w:w="4437"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58DD01D3" w14:textId="77777777" w:rsidR="004A7EDA" w:rsidRPr="00286AE3" w:rsidRDefault="004A7EDA" w:rsidP="00286AE3">
            <w:pPr>
              <w:pStyle w:val="TableHeading"/>
            </w:pPr>
            <w:r w:rsidRPr="00286AE3">
              <w:t>Measure (unit of measure)</w:t>
            </w:r>
          </w:p>
        </w:tc>
        <w:tc>
          <w:tcPr>
            <w:tcW w:w="14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19BECF2" w14:textId="77777777" w:rsidR="004A7EDA" w:rsidRPr="00286AE3" w:rsidRDefault="004A7EDA" w:rsidP="00286AE3">
            <w:pPr>
              <w:pStyle w:val="TableHeading"/>
            </w:pPr>
            <w:r w:rsidRPr="00286AE3">
              <w:t>2017–18</w:t>
            </w:r>
          </w:p>
        </w:tc>
        <w:tc>
          <w:tcPr>
            <w:tcW w:w="14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45DDCBF7" w14:textId="77777777" w:rsidR="004A7EDA" w:rsidRPr="00286AE3" w:rsidRDefault="004A7EDA" w:rsidP="00286AE3">
            <w:pPr>
              <w:pStyle w:val="TableHeading"/>
            </w:pPr>
            <w:r w:rsidRPr="00286AE3">
              <w:t>2018–19</w:t>
            </w:r>
          </w:p>
        </w:tc>
        <w:tc>
          <w:tcPr>
            <w:tcW w:w="1433"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8E6AA94" w14:textId="77777777" w:rsidR="004A7EDA" w:rsidRPr="00286AE3" w:rsidRDefault="004A7EDA" w:rsidP="00286AE3">
            <w:pPr>
              <w:pStyle w:val="TableHeading"/>
            </w:pPr>
            <w:r w:rsidRPr="00286AE3">
              <w:t>2019–20</w:t>
            </w:r>
          </w:p>
        </w:tc>
        <w:tc>
          <w:tcPr>
            <w:tcW w:w="1434" w:type="dxa"/>
            <w:tcBorders>
              <w:top w:val="single"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42AE686" w14:textId="77777777" w:rsidR="004A7EDA" w:rsidRPr="00286AE3" w:rsidRDefault="004A7EDA" w:rsidP="00286AE3">
            <w:pPr>
              <w:pStyle w:val="TableHeading"/>
            </w:pPr>
            <w:r w:rsidRPr="00286AE3">
              <w:t>2020–21</w:t>
            </w:r>
          </w:p>
        </w:tc>
      </w:tr>
      <w:tr w:rsidR="004A7EDA" w:rsidRPr="004A7EDA" w14:paraId="5212B254" w14:textId="77777777" w:rsidTr="00D50C66">
        <w:trPr>
          <w:trHeight w:val="113"/>
        </w:trPr>
        <w:tc>
          <w:tcPr>
            <w:tcW w:w="4437"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5A14F05E" w14:textId="529AFD08" w:rsidR="004A7EDA" w:rsidRPr="004A7EDA" w:rsidRDefault="004A7EDA" w:rsidP="00286AE3">
            <w:pPr>
              <w:pStyle w:val="TableCopy"/>
              <w:rPr>
                <w:lang w:val="en-GB"/>
              </w:rPr>
            </w:pPr>
            <w:r w:rsidRPr="004A7EDA">
              <w:rPr>
                <w:lang w:val="en-GB"/>
              </w:rPr>
              <w:t>Annual production of brown coal</w:t>
            </w:r>
            <w:r w:rsidR="00D54570">
              <w:rPr>
                <w:lang w:val="en-GB"/>
              </w:rPr>
              <w:t xml:space="preserve"> </w:t>
            </w:r>
            <w:r w:rsidRPr="004A7EDA">
              <w:rPr>
                <w:lang w:val="en-GB"/>
              </w:rPr>
              <w:t>(1000 tonnes)</w:t>
            </w:r>
          </w:p>
        </w:tc>
        <w:tc>
          <w:tcPr>
            <w:tcW w:w="1434"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705631E5" w14:textId="77777777" w:rsidR="004A7EDA" w:rsidRPr="004A7EDA" w:rsidRDefault="004A7EDA" w:rsidP="00286AE3">
            <w:pPr>
              <w:pStyle w:val="TableCopy"/>
              <w:rPr>
                <w:lang w:val="en-GB"/>
              </w:rPr>
            </w:pPr>
            <w:r w:rsidRPr="004A7EDA">
              <w:rPr>
                <w:lang w:val="en-GB"/>
              </w:rPr>
              <w:t>45,062</w:t>
            </w:r>
          </w:p>
        </w:tc>
        <w:tc>
          <w:tcPr>
            <w:tcW w:w="1434"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5C4FFAD" w14:textId="77777777" w:rsidR="004A7EDA" w:rsidRPr="004A7EDA" w:rsidRDefault="004A7EDA" w:rsidP="00286AE3">
            <w:pPr>
              <w:pStyle w:val="TableCopy"/>
              <w:rPr>
                <w:lang w:val="en-GB"/>
              </w:rPr>
            </w:pPr>
            <w:r w:rsidRPr="004A7EDA">
              <w:rPr>
                <w:lang w:val="en-GB"/>
              </w:rPr>
              <w:t>42,256</w:t>
            </w:r>
          </w:p>
        </w:tc>
        <w:tc>
          <w:tcPr>
            <w:tcW w:w="1433"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1914F76" w14:textId="77777777" w:rsidR="004A7EDA" w:rsidRPr="004A7EDA" w:rsidRDefault="004A7EDA" w:rsidP="00286AE3">
            <w:pPr>
              <w:pStyle w:val="TableCopy"/>
              <w:rPr>
                <w:lang w:val="en-GB"/>
              </w:rPr>
            </w:pPr>
            <w:r w:rsidRPr="004A7EDA">
              <w:rPr>
                <w:lang w:val="en-GB"/>
              </w:rPr>
              <w:t>40,372</w:t>
            </w:r>
          </w:p>
        </w:tc>
        <w:tc>
          <w:tcPr>
            <w:tcW w:w="1434" w:type="dxa"/>
            <w:tcBorders>
              <w:top w:val="single"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1EA243E0" w14:textId="77777777" w:rsidR="004A7EDA" w:rsidRPr="004A7EDA" w:rsidRDefault="004A7EDA" w:rsidP="00286AE3">
            <w:pPr>
              <w:pStyle w:val="TableCopy"/>
              <w:rPr>
                <w:lang w:val="en-GB"/>
              </w:rPr>
            </w:pPr>
            <w:r w:rsidRPr="004A7EDA">
              <w:rPr>
                <w:lang w:val="en-GB"/>
              </w:rPr>
              <w:t>Data available November 2021</w:t>
            </w:r>
          </w:p>
        </w:tc>
      </w:tr>
      <w:tr w:rsidR="004A7EDA" w:rsidRPr="004A7EDA" w14:paraId="3AD88EDF" w14:textId="77777777" w:rsidTr="00D50C66">
        <w:trPr>
          <w:trHeight w:val="113"/>
        </w:trPr>
        <w:tc>
          <w:tcPr>
            <w:tcW w:w="4437"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2502512" w14:textId="11F281A3" w:rsidR="004A7EDA" w:rsidRPr="004A7EDA" w:rsidRDefault="004A7EDA" w:rsidP="00286AE3">
            <w:pPr>
              <w:pStyle w:val="TableCopy"/>
              <w:rPr>
                <w:lang w:val="en-GB"/>
              </w:rPr>
            </w:pPr>
            <w:r w:rsidRPr="004A7EDA">
              <w:rPr>
                <w:lang w:val="en-GB"/>
              </w:rPr>
              <w:t>Annual production of gold</w:t>
            </w:r>
            <w:r w:rsidR="00D54570">
              <w:rPr>
                <w:lang w:val="en-GB"/>
              </w:rPr>
              <w:t xml:space="preserve"> </w:t>
            </w:r>
            <w:r w:rsidRPr="004A7EDA">
              <w:rPr>
                <w:lang w:val="en-GB"/>
              </w:rPr>
              <w:t>(ounces)</w:t>
            </w:r>
          </w:p>
        </w:tc>
        <w:tc>
          <w:tcPr>
            <w:tcW w:w="143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47AAF43D" w14:textId="77777777" w:rsidR="004A7EDA" w:rsidRPr="004A7EDA" w:rsidRDefault="004A7EDA" w:rsidP="00286AE3">
            <w:pPr>
              <w:pStyle w:val="TableCopy"/>
              <w:rPr>
                <w:lang w:val="en-GB"/>
              </w:rPr>
            </w:pPr>
            <w:r w:rsidRPr="004A7EDA">
              <w:rPr>
                <w:lang w:val="en-GB"/>
              </w:rPr>
              <w:t>364,294</w:t>
            </w:r>
          </w:p>
        </w:tc>
        <w:tc>
          <w:tcPr>
            <w:tcW w:w="143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046893B1" w14:textId="77777777" w:rsidR="004A7EDA" w:rsidRPr="004A7EDA" w:rsidRDefault="004A7EDA" w:rsidP="00286AE3">
            <w:pPr>
              <w:pStyle w:val="TableCopy"/>
              <w:rPr>
                <w:lang w:val="en-GB"/>
              </w:rPr>
            </w:pPr>
            <w:r w:rsidRPr="004A7EDA">
              <w:rPr>
                <w:lang w:val="en-GB"/>
              </w:rPr>
              <w:t>567,501</w:t>
            </w:r>
          </w:p>
        </w:tc>
        <w:tc>
          <w:tcPr>
            <w:tcW w:w="1433"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AF6A460" w14:textId="77777777" w:rsidR="004A7EDA" w:rsidRPr="004A7EDA" w:rsidRDefault="004A7EDA" w:rsidP="00286AE3">
            <w:pPr>
              <w:pStyle w:val="TableCopy"/>
              <w:rPr>
                <w:lang w:val="en-GB"/>
              </w:rPr>
            </w:pPr>
            <w:r w:rsidRPr="004A7EDA">
              <w:rPr>
                <w:lang w:val="en-GB"/>
              </w:rPr>
              <w:t>792,267</w:t>
            </w:r>
          </w:p>
        </w:tc>
        <w:tc>
          <w:tcPr>
            <w:tcW w:w="143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30CBDC2" w14:textId="77777777" w:rsidR="004A7EDA" w:rsidRPr="004A7EDA" w:rsidRDefault="004A7EDA" w:rsidP="00286AE3">
            <w:pPr>
              <w:pStyle w:val="TableCopy"/>
              <w:rPr>
                <w:lang w:val="en-GB"/>
              </w:rPr>
            </w:pPr>
            <w:r w:rsidRPr="004A7EDA">
              <w:rPr>
                <w:lang w:val="en-GB"/>
              </w:rPr>
              <w:t>Data available November 2021</w:t>
            </w:r>
          </w:p>
        </w:tc>
      </w:tr>
      <w:tr w:rsidR="004A7EDA" w:rsidRPr="004A7EDA" w14:paraId="2A6ABFD2" w14:textId="77777777" w:rsidTr="00D50C66">
        <w:trPr>
          <w:trHeight w:val="113"/>
        </w:trPr>
        <w:tc>
          <w:tcPr>
            <w:tcW w:w="4437"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0EDE139" w14:textId="5C050A15" w:rsidR="004A7EDA" w:rsidRPr="004A7EDA" w:rsidRDefault="004A7EDA" w:rsidP="00286AE3">
            <w:pPr>
              <w:pStyle w:val="TableCopy"/>
              <w:rPr>
                <w:lang w:val="en-GB"/>
              </w:rPr>
            </w:pPr>
            <w:r w:rsidRPr="004A7EDA">
              <w:rPr>
                <w:lang w:val="en-GB"/>
              </w:rPr>
              <w:t>Annual production of antimony</w:t>
            </w:r>
            <w:r w:rsidR="00D54570">
              <w:rPr>
                <w:lang w:val="en-GB"/>
              </w:rPr>
              <w:t xml:space="preserve"> </w:t>
            </w:r>
            <w:r w:rsidRPr="004A7EDA">
              <w:rPr>
                <w:lang w:val="en-GB"/>
              </w:rPr>
              <w:t>(tonnes)</w:t>
            </w:r>
          </w:p>
        </w:tc>
        <w:tc>
          <w:tcPr>
            <w:tcW w:w="143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60E603DF" w14:textId="77777777" w:rsidR="004A7EDA" w:rsidRPr="004A7EDA" w:rsidRDefault="004A7EDA" w:rsidP="00286AE3">
            <w:pPr>
              <w:pStyle w:val="TableCopy"/>
              <w:rPr>
                <w:lang w:val="en-GB"/>
              </w:rPr>
            </w:pPr>
            <w:r w:rsidRPr="004A7EDA">
              <w:rPr>
                <w:lang w:val="en-GB"/>
              </w:rPr>
              <w:t>2,570</w:t>
            </w:r>
          </w:p>
        </w:tc>
        <w:tc>
          <w:tcPr>
            <w:tcW w:w="143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732F7CBE" w14:textId="77777777" w:rsidR="004A7EDA" w:rsidRPr="004A7EDA" w:rsidRDefault="004A7EDA" w:rsidP="00286AE3">
            <w:pPr>
              <w:pStyle w:val="TableCopy"/>
              <w:rPr>
                <w:lang w:val="en-GB"/>
              </w:rPr>
            </w:pPr>
            <w:r w:rsidRPr="004A7EDA">
              <w:rPr>
                <w:lang w:val="en-GB"/>
              </w:rPr>
              <w:t>2,016</w:t>
            </w:r>
          </w:p>
        </w:tc>
        <w:tc>
          <w:tcPr>
            <w:tcW w:w="1433"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7FD17317" w14:textId="77777777" w:rsidR="004A7EDA" w:rsidRPr="004A7EDA" w:rsidRDefault="004A7EDA" w:rsidP="00286AE3">
            <w:pPr>
              <w:pStyle w:val="TableCopy"/>
              <w:rPr>
                <w:lang w:val="en-GB"/>
              </w:rPr>
            </w:pPr>
            <w:r w:rsidRPr="004A7EDA">
              <w:rPr>
                <w:lang w:val="en-GB"/>
              </w:rPr>
              <w:t>3,141</w:t>
            </w:r>
          </w:p>
        </w:tc>
        <w:tc>
          <w:tcPr>
            <w:tcW w:w="143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139331E" w14:textId="77777777" w:rsidR="004A7EDA" w:rsidRPr="004A7EDA" w:rsidRDefault="004A7EDA" w:rsidP="00286AE3">
            <w:pPr>
              <w:pStyle w:val="TableCopy"/>
              <w:rPr>
                <w:lang w:val="en-GB"/>
              </w:rPr>
            </w:pPr>
            <w:r w:rsidRPr="004A7EDA">
              <w:rPr>
                <w:lang w:val="en-GB"/>
              </w:rPr>
              <w:t>Data available November 2021</w:t>
            </w:r>
          </w:p>
        </w:tc>
      </w:tr>
      <w:tr w:rsidR="004A7EDA" w:rsidRPr="004A7EDA" w14:paraId="2EB88FC7" w14:textId="77777777" w:rsidTr="00D50C66">
        <w:trPr>
          <w:trHeight w:val="113"/>
        </w:trPr>
        <w:tc>
          <w:tcPr>
            <w:tcW w:w="4437"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5C4D9E6C" w14:textId="3DF9EBF3" w:rsidR="004A7EDA" w:rsidRPr="004A7EDA" w:rsidRDefault="004A7EDA" w:rsidP="00286AE3">
            <w:pPr>
              <w:pStyle w:val="TableCopy"/>
              <w:rPr>
                <w:lang w:val="en-GB"/>
              </w:rPr>
            </w:pPr>
            <w:r w:rsidRPr="004A7EDA">
              <w:rPr>
                <w:lang w:val="en-GB"/>
              </w:rPr>
              <w:t>Annual production of mineral sands</w:t>
            </w:r>
            <w:r w:rsidR="00D54570">
              <w:rPr>
                <w:lang w:val="en-GB"/>
              </w:rPr>
              <w:t xml:space="preserve"> </w:t>
            </w:r>
            <w:r w:rsidRPr="004A7EDA">
              <w:rPr>
                <w:lang w:val="en-GB"/>
              </w:rPr>
              <w:t>(tonnes)</w:t>
            </w:r>
          </w:p>
        </w:tc>
        <w:tc>
          <w:tcPr>
            <w:tcW w:w="143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28C38BD9" w14:textId="77777777" w:rsidR="004A7EDA" w:rsidRPr="004A7EDA" w:rsidRDefault="004A7EDA" w:rsidP="00286AE3">
            <w:pPr>
              <w:pStyle w:val="TableCopy"/>
              <w:rPr>
                <w:lang w:val="en-GB"/>
              </w:rPr>
            </w:pPr>
            <w:r w:rsidRPr="004A7EDA">
              <w:rPr>
                <w:lang w:val="en-GB"/>
              </w:rPr>
              <w:t>100,286</w:t>
            </w:r>
          </w:p>
        </w:tc>
        <w:tc>
          <w:tcPr>
            <w:tcW w:w="143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70D8CBE9" w14:textId="77777777" w:rsidR="004A7EDA" w:rsidRPr="004A7EDA" w:rsidRDefault="004A7EDA" w:rsidP="00286AE3">
            <w:pPr>
              <w:pStyle w:val="TableCopy"/>
              <w:rPr>
                <w:lang w:val="en-GB"/>
              </w:rPr>
            </w:pPr>
            <w:r w:rsidRPr="004A7EDA">
              <w:rPr>
                <w:lang w:val="en-GB"/>
              </w:rPr>
              <w:t>0</w:t>
            </w:r>
          </w:p>
        </w:tc>
        <w:tc>
          <w:tcPr>
            <w:tcW w:w="1433"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48139FCE" w14:textId="77777777" w:rsidR="004A7EDA" w:rsidRPr="004A7EDA" w:rsidRDefault="004A7EDA" w:rsidP="00286AE3">
            <w:pPr>
              <w:pStyle w:val="TableCopy"/>
              <w:rPr>
                <w:lang w:val="en-GB"/>
              </w:rPr>
            </w:pPr>
            <w:r w:rsidRPr="004A7EDA">
              <w:rPr>
                <w:lang w:val="en-GB"/>
              </w:rPr>
              <w:t>61,197</w:t>
            </w:r>
          </w:p>
        </w:tc>
        <w:tc>
          <w:tcPr>
            <w:tcW w:w="1434" w:type="dxa"/>
            <w:tcBorders>
              <w:top w:val="dotted" w:sz="6" w:space="0" w:color="000056"/>
              <w:left w:val="single" w:sz="6" w:space="0" w:color="auto"/>
              <w:bottom w:val="dotted" w:sz="6" w:space="0" w:color="000056"/>
              <w:right w:val="single" w:sz="6" w:space="0" w:color="auto"/>
            </w:tcBorders>
            <w:tcMar>
              <w:top w:w="113" w:type="dxa"/>
              <w:left w:w="28" w:type="dxa"/>
              <w:bottom w:w="113" w:type="dxa"/>
              <w:right w:w="28" w:type="dxa"/>
            </w:tcMar>
          </w:tcPr>
          <w:p w14:paraId="33E68CE9" w14:textId="77777777" w:rsidR="004A7EDA" w:rsidRPr="004A7EDA" w:rsidRDefault="004A7EDA" w:rsidP="00286AE3">
            <w:pPr>
              <w:pStyle w:val="TableCopy"/>
              <w:rPr>
                <w:lang w:val="en-GB"/>
              </w:rPr>
            </w:pPr>
            <w:r w:rsidRPr="004A7EDA">
              <w:rPr>
                <w:lang w:val="en-GB"/>
              </w:rPr>
              <w:t>Data available November 2021</w:t>
            </w:r>
          </w:p>
        </w:tc>
      </w:tr>
      <w:tr w:rsidR="004A7EDA" w:rsidRPr="004A7EDA" w14:paraId="2C771C35" w14:textId="77777777" w:rsidTr="00D50C66">
        <w:trPr>
          <w:trHeight w:val="113"/>
        </w:trPr>
        <w:tc>
          <w:tcPr>
            <w:tcW w:w="4437"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7970838E" w14:textId="493E104F" w:rsidR="004A7EDA" w:rsidRPr="004A7EDA" w:rsidRDefault="004A7EDA" w:rsidP="00286AE3">
            <w:pPr>
              <w:pStyle w:val="TableCopy"/>
              <w:rPr>
                <w:lang w:val="en-GB"/>
              </w:rPr>
            </w:pPr>
            <w:r w:rsidRPr="004A7EDA">
              <w:rPr>
                <w:lang w:val="en-GB"/>
              </w:rPr>
              <w:t>Annual production of extractives</w:t>
            </w:r>
            <w:r w:rsidR="00D54570">
              <w:rPr>
                <w:lang w:val="en-GB"/>
              </w:rPr>
              <w:t xml:space="preserve"> </w:t>
            </w:r>
            <w:r w:rsidRPr="004A7EDA">
              <w:rPr>
                <w:lang w:val="en-GB"/>
              </w:rPr>
              <w:t>(million tonnes)</w:t>
            </w:r>
          </w:p>
        </w:tc>
        <w:tc>
          <w:tcPr>
            <w:tcW w:w="1434"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6C73DC9D" w14:textId="77777777" w:rsidR="004A7EDA" w:rsidRPr="004A7EDA" w:rsidRDefault="004A7EDA" w:rsidP="00286AE3">
            <w:pPr>
              <w:pStyle w:val="TableCopy"/>
              <w:rPr>
                <w:lang w:val="en-GB"/>
              </w:rPr>
            </w:pPr>
            <w:r w:rsidRPr="004A7EDA">
              <w:rPr>
                <w:lang w:val="en-GB"/>
              </w:rPr>
              <w:t>61.16</w:t>
            </w:r>
          </w:p>
        </w:tc>
        <w:tc>
          <w:tcPr>
            <w:tcW w:w="1434"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3E360F5" w14:textId="77777777" w:rsidR="004A7EDA" w:rsidRPr="004A7EDA" w:rsidRDefault="004A7EDA" w:rsidP="00286AE3">
            <w:pPr>
              <w:pStyle w:val="TableCopy"/>
              <w:rPr>
                <w:lang w:val="en-GB"/>
              </w:rPr>
            </w:pPr>
            <w:r w:rsidRPr="004A7EDA">
              <w:rPr>
                <w:lang w:val="en-GB"/>
              </w:rPr>
              <w:t>62.86</w:t>
            </w:r>
          </w:p>
        </w:tc>
        <w:tc>
          <w:tcPr>
            <w:tcW w:w="1433"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350B5C77" w14:textId="77777777" w:rsidR="004A7EDA" w:rsidRPr="004A7EDA" w:rsidRDefault="004A7EDA" w:rsidP="00286AE3">
            <w:pPr>
              <w:pStyle w:val="TableCopy"/>
              <w:rPr>
                <w:lang w:val="en-GB"/>
              </w:rPr>
            </w:pPr>
            <w:r w:rsidRPr="004A7EDA">
              <w:rPr>
                <w:lang w:val="en-GB"/>
              </w:rPr>
              <w:t>63.11</w:t>
            </w:r>
          </w:p>
        </w:tc>
        <w:tc>
          <w:tcPr>
            <w:tcW w:w="1434" w:type="dxa"/>
            <w:tcBorders>
              <w:top w:val="dotted" w:sz="6" w:space="0" w:color="000056"/>
              <w:left w:val="single" w:sz="6" w:space="0" w:color="auto"/>
              <w:bottom w:val="single" w:sz="6" w:space="0" w:color="000056"/>
              <w:right w:val="single" w:sz="6" w:space="0" w:color="auto"/>
            </w:tcBorders>
            <w:tcMar>
              <w:top w:w="113" w:type="dxa"/>
              <w:left w:w="28" w:type="dxa"/>
              <w:bottom w:w="113" w:type="dxa"/>
              <w:right w:w="28" w:type="dxa"/>
            </w:tcMar>
          </w:tcPr>
          <w:p w14:paraId="0FE70352" w14:textId="77777777" w:rsidR="004A7EDA" w:rsidRPr="004A7EDA" w:rsidRDefault="004A7EDA" w:rsidP="00286AE3">
            <w:pPr>
              <w:pStyle w:val="TableCopy"/>
              <w:rPr>
                <w:lang w:val="en-GB"/>
              </w:rPr>
            </w:pPr>
            <w:r w:rsidRPr="004A7EDA">
              <w:rPr>
                <w:lang w:val="en-GB"/>
              </w:rPr>
              <w:t>Data available November 2021</w:t>
            </w:r>
          </w:p>
        </w:tc>
      </w:tr>
    </w:tbl>
    <w:p w14:paraId="452D82AD" w14:textId="77777777" w:rsidR="004A7EDA" w:rsidRPr="004A7EDA" w:rsidRDefault="004A7EDA" w:rsidP="00286AE3">
      <w:pPr>
        <w:rPr>
          <w:lang w:val="en-GB"/>
        </w:rPr>
      </w:pPr>
      <w:r w:rsidRPr="004A7EDA">
        <w:rPr>
          <w:lang w:val="en-GB"/>
        </w:rPr>
        <w:t>Source: Earth Resources Regulation 2018-19 Statistical Report</w:t>
      </w:r>
    </w:p>
    <w:p w14:paraId="7DFAF67E" w14:textId="2C417172" w:rsidR="004A7EDA" w:rsidRPr="004A7EDA" w:rsidRDefault="004A7EDA" w:rsidP="00D54570">
      <w:pPr>
        <w:pStyle w:val="Heading5"/>
        <w:rPr>
          <w:lang w:val="en-GB"/>
        </w:rPr>
      </w:pPr>
      <w:r w:rsidRPr="004A7EDA">
        <w:rPr>
          <w:lang w:val="en-GB"/>
        </w:rPr>
        <w:t>Figure 26: Annual production of brown coal</w:t>
      </w:r>
      <w:r w:rsidR="00D54570">
        <w:rPr>
          <w:lang w:val="en-GB"/>
        </w:rPr>
        <w:t xml:space="preserve"> </w:t>
      </w:r>
      <w:r w:rsidRPr="004A7EDA">
        <w:rPr>
          <w:lang w:val="en-GB"/>
        </w:rPr>
        <w:t>(1000 tonnes)</w:t>
      </w:r>
    </w:p>
    <w:p w14:paraId="1FCF4333" w14:textId="2115C1DE" w:rsidR="004A7EDA" w:rsidRPr="004A7EDA" w:rsidRDefault="00D54570" w:rsidP="004A7EDA">
      <w:pPr>
        <w:rPr>
          <w:lang w:val="en-GB"/>
        </w:rPr>
      </w:pPr>
      <w:r>
        <w:rPr>
          <w:noProof/>
          <w:lang w:val="en-GB"/>
        </w:rPr>
        <w:drawing>
          <wp:inline distT="0" distB="0" distL="0" distR="0" wp14:anchorId="5ABB2575" wp14:editId="00A5ED14">
            <wp:extent cx="2895600" cy="1926771"/>
            <wp:effectExtent l="0" t="0" r="0" b="0"/>
            <wp:docPr id="26" name="Picture 26" descr="Chart, diagram&#10;&#10;Annual production of brown coal (1000 tonnes)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diagram&#10;&#10;Annual production of brown coal (1000 tonnes) 2017-2020"/>
                    <pic:cNvPicPr/>
                  </pic:nvPicPr>
                  <pic:blipFill rotWithShape="1">
                    <a:blip r:embed="rId37"/>
                    <a:srcRect b="22988"/>
                    <a:stretch/>
                  </pic:blipFill>
                  <pic:spPr bwMode="auto">
                    <a:xfrm>
                      <a:off x="0" y="0"/>
                      <a:ext cx="2895600" cy="1926771"/>
                    </a:xfrm>
                    <a:prstGeom prst="rect">
                      <a:avLst/>
                    </a:prstGeom>
                    <a:ln>
                      <a:noFill/>
                    </a:ln>
                    <a:extLst>
                      <a:ext uri="{53640926-AAD7-44D8-BBD7-CCE9431645EC}">
                        <a14:shadowObscured xmlns:a14="http://schemas.microsoft.com/office/drawing/2010/main"/>
                      </a:ext>
                    </a:extLst>
                  </pic:spPr>
                </pic:pic>
              </a:graphicData>
            </a:graphic>
          </wp:inline>
        </w:drawing>
      </w:r>
    </w:p>
    <w:p w14:paraId="6D51C614" w14:textId="6010FEDB" w:rsidR="004A7EDA" w:rsidRPr="004A7EDA" w:rsidRDefault="004A7EDA" w:rsidP="00D54570">
      <w:pPr>
        <w:pStyle w:val="Heading5"/>
        <w:rPr>
          <w:lang w:val="en-GB"/>
        </w:rPr>
      </w:pPr>
      <w:r w:rsidRPr="004A7EDA">
        <w:rPr>
          <w:lang w:val="en-GB"/>
        </w:rPr>
        <w:t>Figure 27: Annual production of gold</w:t>
      </w:r>
      <w:r w:rsidR="00D54570">
        <w:rPr>
          <w:lang w:val="en-GB"/>
        </w:rPr>
        <w:t xml:space="preserve"> </w:t>
      </w:r>
      <w:r w:rsidRPr="004A7EDA">
        <w:rPr>
          <w:lang w:val="en-GB"/>
        </w:rPr>
        <w:t>(ounces)</w:t>
      </w:r>
    </w:p>
    <w:p w14:paraId="7528E333" w14:textId="4009242A" w:rsidR="004A7EDA" w:rsidRPr="004A7EDA" w:rsidRDefault="00D54570" w:rsidP="004A7EDA">
      <w:pPr>
        <w:rPr>
          <w:lang w:val="en-GB"/>
        </w:rPr>
      </w:pPr>
      <w:r>
        <w:rPr>
          <w:noProof/>
          <w:lang w:val="en-GB"/>
        </w:rPr>
        <w:drawing>
          <wp:inline distT="0" distB="0" distL="0" distR="0" wp14:anchorId="39BD23E5" wp14:editId="5CA7F93F">
            <wp:extent cx="2895600" cy="1885950"/>
            <wp:effectExtent l="0" t="0" r="0" b="0"/>
            <wp:docPr id="27" name="Picture 27" descr="Chart, line chart&#10;&#10;Annual production of gold (ounces)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line chart&#10;&#10;Annual production of gold (ounces) 2017-2020"/>
                    <pic:cNvPicPr/>
                  </pic:nvPicPr>
                  <pic:blipFill rotWithShape="1">
                    <a:blip r:embed="rId38"/>
                    <a:srcRect b="24619"/>
                    <a:stretch/>
                  </pic:blipFill>
                  <pic:spPr bwMode="auto">
                    <a:xfrm>
                      <a:off x="0" y="0"/>
                      <a:ext cx="2895600" cy="1885950"/>
                    </a:xfrm>
                    <a:prstGeom prst="rect">
                      <a:avLst/>
                    </a:prstGeom>
                    <a:ln>
                      <a:noFill/>
                    </a:ln>
                    <a:extLst>
                      <a:ext uri="{53640926-AAD7-44D8-BBD7-CCE9431645EC}">
                        <a14:shadowObscured xmlns:a14="http://schemas.microsoft.com/office/drawing/2010/main"/>
                      </a:ext>
                    </a:extLst>
                  </pic:spPr>
                </pic:pic>
              </a:graphicData>
            </a:graphic>
          </wp:inline>
        </w:drawing>
      </w:r>
    </w:p>
    <w:p w14:paraId="3CA11822" w14:textId="5E9AD6DD" w:rsidR="004A7EDA" w:rsidRPr="004A7EDA" w:rsidRDefault="004A7EDA" w:rsidP="00D54570">
      <w:pPr>
        <w:pStyle w:val="Heading5"/>
        <w:rPr>
          <w:lang w:val="en-GB"/>
        </w:rPr>
      </w:pPr>
      <w:r w:rsidRPr="004A7EDA">
        <w:rPr>
          <w:lang w:val="en-GB"/>
        </w:rPr>
        <w:lastRenderedPageBreak/>
        <w:t>Figure 28: Annual production of antimony (tonnes)</w:t>
      </w:r>
    </w:p>
    <w:p w14:paraId="0B27ACE4" w14:textId="59D324EC" w:rsidR="004A7EDA" w:rsidRPr="004A7EDA" w:rsidRDefault="00D647D1" w:rsidP="004A7EDA">
      <w:pPr>
        <w:rPr>
          <w:lang w:val="en-GB"/>
        </w:rPr>
      </w:pPr>
      <w:r>
        <w:rPr>
          <w:noProof/>
          <w:lang w:val="en-GB"/>
        </w:rPr>
        <w:drawing>
          <wp:inline distT="0" distB="0" distL="0" distR="0" wp14:anchorId="143C4D86" wp14:editId="42CF173C">
            <wp:extent cx="2895600" cy="1926772"/>
            <wp:effectExtent l="0" t="0" r="0" b="0"/>
            <wp:docPr id="28" name="Picture 28" descr="Chart&#10;&#10;Annual production of antimony (tonnes)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10;&#10;Annual production of antimony (tonnes) 2017-2020"/>
                    <pic:cNvPicPr/>
                  </pic:nvPicPr>
                  <pic:blipFill rotWithShape="1">
                    <a:blip r:embed="rId39"/>
                    <a:srcRect b="22988"/>
                    <a:stretch/>
                  </pic:blipFill>
                  <pic:spPr bwMode="auto">
                    <a:xfrm>
                      <a:off x="0" y="0"/>
                      <a:ext cx="2895600" cy="1926772"/>
                    </a:xfrm>
                    <a:prstGeom prst="rect">
                      <a:avLst/>
                    </a:prstGeom>
                    <a:ln>
                      <a:noFill/>
                    </a:ln>
                    <a:extLst>
                      <a:ext uri="{53640926-AAD7-44D8-BBD7-CCE9431645EC}">
                        <a14:shadowObscured xmlns:a14="http://schemas.microsoft.com/office/drawing/2010/main"/>
                      </a:ext>
                    </a:extLst>
                  </pic:spPr>
                </pic:pic>
              </a:graphicData>
            </a:graphic>
          </wp:inline>
        </w:drawing>
      </w:r>
    </w:p>
    <w:p w14:paraId="0C2066D2" w14:textId="77777777" w:rsidR="004A7EDA" w:rsidRPr="00D647D1" w:rsidRDefault="004A7EDA" w:rsidP="00D647D1">
      <w:pPr>
        <w:pStyle w:val="Heading5"/>
      </w:pPr>
      <w:r w:rsidRPr="00D647D1">
        <w:t>Figure 29: Annual production of mineral sands (</w:t>
      </w:r>
      <w:proofErr w:type="spellStart"/>
      <w:r w:rsidRPr="00D647D1">
        <w:t>tonnes</w:t>
      </w:r>
      <w:proofErr w:type="spellEnd"/>
      <w:r w:rsidRPr="00D647D1">
        <w:t>)</w:t>
      </w:r>
    </w:p>
    <w:p w14:paraId="52153E69" w14:textId="325E7FB5" w:rsidR="004A7EDA" w:rsidRPr="004A7EDA" w:rsidRDefault="00D647D1" w:rsidP="004A7EDA">
      <w:pPr>
        <w:rPr>
          <w:lang w:val="en-GB"/>
        </w:rPr>
      </w:pPr>
      <w:r>
        <w:rPr>
          <w:noProof/>
          <w:lang w:val="en-GB"/>
        </w:rPr>
        <w:drawing>
          <wp:inline distT="0" distB="0" distL="0" distR="0" wp14:anchorId="6E560417" wp14:editId="75AFBCCD">
            <wp:extent cx="2895600" cy="1910443"/>
            <wp:effectExtent l="0" t="0" r="0" b="0"/>
            <wp:docPr id="29" name="Picture 29" descr="Chart, line chart&#10;&#10;Annual production of mineral sands (tonnes)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line chart&#10;&#10;Annual production of mineral sands (tonnes) 2017-2020"/>
                    <pic:cNvPicPr/>
                  </pic:nvPicPr>
                  <pic:blipFill rotWithShape="1">
                    <a:blip r:embed="rId40"/>
                    <a:srcRect b="23641"/>
                    <a:stretch/>
                  </pic:blipFill>
                  <pic:spPr bwMode="auto">
                    <a:xfrm>
                      <a:off x="0" y="0"/>
                      <a:ext cx="2895600" cy="1910443"/>
                    </a:xfrm>
                    <a:prstGeom prst="rect">
                      <a:avLst/>
                    </a:prstGeom>
                    <a:ln>
                      <a:noFill/>
                    </a:ln>
                    <a:extLst>
                      <a:ext uri="{53640926-AAD7-44D8-BBD7-CCE9431645EC}">
                        <a14:shadowObscured xmlns:a14="http://schemas.microsoft.com/office/drawing/2010/main"/>
                      </a:ext>
                    </a:extLst>
                  </pic:spPr>
                </pic:pic>
              </a:graphicData>
            </a:graphic>
          </wp:inline>
        </w:drawing>
      </w:r>
    </w:p>
    <w:p w14:paraId="14081DDC" w14:textId="77777777" w:rsidR="004A7EDA" w:rsidRPr="004A7EDA" w:rsidRDefault="004A7EDA" w:rsidP="00D647D1">
      <w:pPr>
        <w:pStyle w:val="Heading5"/>
        <w:rPr>
          <w:lang w:val="en-GB"/>
        </w:rPr>
      </w:pPr>
      <w:r w:rsidRPr="004A7EDA">
        <w:rPr>
          <w:lang w:val="en-GB"/>
        </w:rPr>
        <w:t>Figure 30: Annual production of extractives (million tonnes)</w:t>
      </w:r>
    </w:p>
    <w:p w14:paraId="166E40FD" w14:textId="5E9B23FA" w:rsidR="004A7EDA" w:rsidRPr="004A7EDA" w:rsidRDefault="00D647D1" w:rsidP="004A7EDA">
      <w:pPr>
        <w:rPr>
          <w:lang w:val="en-GB"/>
        </w:rPr>
      </w:pPr>
      <w:r>
        <w:rPr>
          <w:noProof/>
          <w:lang w:val="en-GB"/>
        </w:rPr>
        <w:drawing>
          <wp:inline distT="0" distB="0" distL="0" distR="0" wp14:anchorId="00C01A8C" wp14:editId="1B6FA62A">
            <wp:extent cx="2895600" cy="1943100"/>
            <wp:effectExtent l="0" t="0" r="0" b="0"/>
            <wp:docPr id="30" name="Picture 30" descr="Chart&#10;&#10;Annual production of extractives (million tonnes)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10;&#10;Annual production of extractives (million tonnes) 2017-2020"/>
                    <pic:cNvPicPr/>
                  </pic:nvPicPr>
                  <pic:blipFill rotWithShape="1">
                    <a:blip r:embed="rId41"/>
                    <a:srcRect b="22335"/>
                    <a:stretch/>
                  </pic:blipFill>
                  <pic:spPr bwMode="auto">
                    <a:xfrm>
                      <a:off x="0" y="0"/>
                      <a:ext cx="2895600" cy="1943100"/>
                    </a:xfrm>
                    <a:prstGeom prst="rect">
                      <a:avLst/>
                    </a:prstGeom>
                    <a:ln>
                      <a:noFill/>
                    </a:ln>
                    <a:extLst>
                      <a:ext uri="{53640926-AAD7-44D8-BBD7-CCE9431645EC}">
                        <a14:shadowObscured xmlns:a14="http://schemas.microsoft.com/office/drawing/2010/main"/>
                      </a:ext>
                    </a:extLst>
                  </pic:spPr>
                </pic:pic>
              </a:graphicData>
            </a:graphic>
          </wp:inline>
        </w:drawing>
      </w:r>
    </w:p>
    <w:p w14:paraId="1EBFE901" w14:textId="77777777" w:rsidR="004A7EDA" w:rsidRPr="004A7EDA" w:rsidRDefault="004A7EDA" w:rsidP="004A7EDA">
      <w:pPr>
        <w:rPr>
          <w:lang w:val="en-GB"/>
        </w:rPr>
      </w:pPr>
      <w:r w:rsidRPr="004A7EDA">
        <w:rPr>
          <w:lang w:val="en-GB"/>
        </w:rPr>
        <w:t xml:space="preserve">Gold production in Victoria has continued to grow with a 39.6 per cent increase during 2019–20 compared to 2018–19. Since 2014–15 annual gold production has increased by 593,880 ounces, a quadrupling of the 2014–15 production level. This mainly reflects the successful exploration and development activities at the Fosterville gold mine in central Victoria. Future success in the gold industry will be driven by new exploration in the </w:t>
      </w:r>
      <w:proofErr w:type="spellStart"/>
      <w:r w:rsidRPr="004A7EDA">
        <w:rPr>
          <w:lang w:val="en-GB"/>
        </w:rPr>
        <w:t>Stavely</w:t>
      </w:r>
      <w:proofErr w:type="spellEnd"/>
      <w:r w:rsidRPr="004A7EDA">
        <w:rPr>
          <w:lang w:val="en-GB"/>
        </w:rPr>
        <w:t xml:space="preserve"> region in western Victoria, new activity generated from the north central Victorian Goldfields Ground Release and further development of existing mines. </w:t>
      </w:r>
    </w:p>
    <w:p w14:paraId="435A7C97" w14:textId="77777777" w:rsidR="004A7EDA" w:rsidRPr="004A7EDA" w:rsidRDefault="004A7EDA" w:rsidP="004A7EDA">
      <w:pPr>
        <w:rPr>
          <w:lang w:val="en-GB"/>
        </w:rPr>
      </w:pPr>
      <w:r w:rsidRPr="004A7EDA">
        <w:rPr>
          <w:lang w:val="en-GB"/>
        </w:rPr>
        <w:t>Victoria’s ‘Big Build’ is seeing record levels of investment in critical infrastructure covering major construction and transport initiatives. This continues to drive the current demand for extractives material and is projected to grow to over 100 million tonnes by 2050. Secure supplies of sand, stone and gravel resources will support ongoing construction investment. During 2019–20 extractives production slightly increased to 63.1 million tonnes.</w:t>
      </w:r>
      <w:r w:rsidRPr="004A7EDA">
        <w:rPr>
          <w:lang w:val="en-GB"/>
        </w:rPr>
        <w:br/>
        <w:t xml:space="preserve">This represents an increase of 24 per cent over five years from 2014–15. </w:t>
      </w:r>
    </w:p>
    <w:p w14:paraId="70AF75F6" w14:textId="77777777" w:rsidR="004A7EDA" w:rsidRPr="004A7EDA" w:rsidRDefault="004A7EDA" w:rsidP="004A7EDA">
      <w:pPr>
        <w:rPr>
          <w:lang w:val="en-GB"/>
        </w:rPr>
      </w:pPr>
      <w:r w:rsidRPr="004A7EDA">
        <w:rPr>
          <w:lang w:val="en-GB"/>
        </w:rPr>
        <w:t xml:space="preserve">Brown coal production decreased by 4.5 per cent during 2019–20 to 40.4 million tonnes. This reflects the impact of increasing renewable energy sources for electricity generation and the impact of the closure of the Hazelwood coal mine on 31 March 2017. This trend is forecast to continue, and it was announced by Energy Australia in March 2021 that the </w:t>
      </w:r>
      <w:proofErr w:type="spellStart"/>
      <w:r w:rsidRPr="004A7EDA">
        <w:rPr>
          <w:lang w:val="en-GB"/>
        </w:rPr>
        <w:t>Yallourn</w:t>
      </w:r>
      <w:proofErr w:type="spellEnd"/>
      <w:r w:rsidRPr="004A7EDA">
        <w:rPr>
          <w:lang w:val="en-GB"/>
        </w:rPr>
        <w:t xml:space="preserve"> coal mine would close in 2028, four years ahead of schedule.</w:t>
      </w:r>
    </w:p>
    <w:p w14:paraId="164D47B8" w14:textId="5605DB0C" w:rsidR="004A7EDA" w:rsidRPr="004A7EDA" w:rsidRDefault="004A7EDA" w:rsidP="004A7EDA">
      <w:pPr>
        <w:rPr>
          <w:lang w:val="en-GB"/>
        </w:rPr>
      </w:pPr>
      <w:r w:rsidRPr="004A7EDA">
        <w:rPr>
          <w:lang w:val="en-GB"/>
        </w:rPr>
        <w:t>Reported mineral sands production in 2019–20</w:t>
      </w:r>
      <w:r w:rsidR="00BE1D1E">
        <w:rPr>
          <w:lang w:val="en-GB"/>
        </w:rPr>
        <w:t xml:space="preserve"> </w:t>
      </w:r>
      <w:r w:rsidRPr="004A7EDA">
        <w:rPr>
          <w:lang w:val="en-GB"/>
        </w:rPr>
        <w:t xml:space="preserve">was 61,197 tonnes consisting of Ilmenite extracted from stockpiles near </w:t>
      </w:r>
      <w:proofErr w:type="spellStart"/>
      <w:r w:rsidRPr="004A7EDA">
        <w:rPr>
          <w:lang w:val="en-GB"/>
        </w:rPr>
        <w:t>Ouyen</w:t>
      </w:r>
      <w:proofErr w:type="spellEnd"/>
      <w:r w:rsidRPr="004A7EDA">
        <w:rPr>
          <w:lang w:val="en-GB"/>
        </w:rPr>
        <w:t>, western Victoria. There is significant potential for new mineral sands projects in Victoria in the Murray and Gippsland Basins. The Fingerboards Mineral Sands Project</w:t>
      </w:r>
      <w:r w:rsidR="00BE1D1E">
        <w:rPr>
          <w:lang w:val="en-GB"/>
        </w:rPr>
        <w:t xml:space="preserve"> </w:t>
      </w:r>
      <w:r w:rsidRPr="004A7EDA">
        <w:rPr>
          <w:lang w:val="en-GB"/>
        </w:rPr>
        <w:t xml:space="preserve">in the </w:t>
      </w:r>
      <w:proofErr w:type="spellStart"/>
      <w:r w:rsidRPr="004A7EDA">
        <w:rPr>
          <w:lang w:val="en-GB"/>
        </w:rPr>
        <w:t>Glenaladale</w:t>
      </w:r>
      <w:proofErr w:type="spellEnd"/>
      <w:r w:rsidRPr="004A7EDA">
        <w:rPr>
          <w:lang w:val="en-GB"/>
        </w:rPr>
        <w:t xml:space="preserve"> deposit, about 20km northwest of Bairnsdale </w:t>
      </w:r>
      <w:r w:rsidRPr="004A7EDA">
        <w:rPr>
          <w:lang w:val="en-GB"/>
        </w:rPr>
        <w:lastRenderedPageBreak/>
        <w:t xml:space="preserve">in East Gippsland, Victoria, is working through the approval’s pathway. The Minister for Planning has appointed an Inquiry and Advisory Committee (IAC) to consider submissions to the Environment Effects Statement. The project has the potential to be a major producer of zircon, ilmenite, </w:t>
      </w:r>
      <w:proofErr w:type="gramStart"/>
      <w:r w:rsidRPr="004A7EDA">
        <w:rPr>
          <w:lang w:val="en-GB"/>
        </w:rPr>
        <w:t>rutile</w:t>
      </w:r>
      <w:proofErr w:type="gramEnd"/>
      <w:r w:rsidRPr="004A7EDA">
        <w:rPr>
          <w:lang w:val="en-GB"/>
        </w:rPr>
        <w:t xml:space="preserve"> and rare earths. This project may generate $200 million in new investment and create 200 direct jobs over the 15 to 20-year life of the project.</w:t>
      </w:r>
    </w:p>
    <w:p w14:paraId="2DC52BB2" w14:textId="77777777" w:rsidR="004A7EDA" w:rsidRPr="004A7EDA" w:rsidRDefault="004A7EDA" w:rsidP="004A7EDA">
      <w:pPr>
        <w:rPr>
          <w:lang w:val="en-GB"/>
        </w:rPr>
      </w:pPr>
      <w:r w:rsidRPr="004A7EDA">
        <w:rPr>
          <w:lang w:val="en-GB"/>
        </w:rPr>
        <w:t>Antimony is produced from Australia’s only antimony mine at Costerfield in central Victoria. Production increased by 56 per cent in 2019–20 from a low base.</w:t>
      </w:r>
    </w:p>
    <w:p w14:paraId="6A5849C5" w14:textId="77777777" w:rsidR="004A7EDA" w:rsidRPr="004A7EDA" w:rsidRDefault="004A7EDA" w:rsidP="00BE1D1E">
      <w:pPr>
        <w:pStyle w:val="Heading4"/>
        <w:rPr>
          <w:lang w:val="en-GB"/>
        </w:rPr>
      </w:pPr>
      <w:r w:rsidRPr="004A7EDA">
        <w:rPr>
          <w:lang w:val="en-GB"/>
        </w:rPr>
        <w:t>Performance against output performance measures</w:t>
      </w:r>
    </w:p>
    <w:p w14:paraId="5812E993" w14:textId="77777777" w:rsidR="004A7EDA" w:rsidRPr="004A7EDA" w:rsidRDefault="004A7EDA" w:rsidP="004A7EDA">
      <w:pPr>
        <w:rPr>
          <w:lang w:val="en-GB"/>
        </w:rPr>
      </w:pPr>
      <w:r w:rsidRPr="004A7EDA">
        <w:rPr>
          <w:lang w:val="en-GB"/>
        </w:rPr>
        <w:t xml:space="preserve">Table 30 represents performance against the Agriculture output. This output delivers services to the agriculture, </w:t>
      </w:r>
      <w:proofErr w:type="gramStart"/>
      <w:r w:rsidRPr="004A7EDA">
        <w:rPr>
          <w:lang w:val="en-GB"/>
        </w:rPr>
        <w:t>food</w:t>
      </w:r>
      <w:proofErr w:type="gramEnd"/>
      <w:r w:rsidRPr="004A7EDA">
        <w:rPr>
          <w:lang w:val="en-GB"/>
        </w:rPr>
        <w:t xml:space="preserve"> and fibre sectors to enhance productivity, connect the sector with international markets, create jobs, support growth and maintain effective biosecurity. It delivers effective and efficient regulation, compliance, emergency management, biosecurity research and development, and diagnostic services to protect and enhance market access by addressing trade barriers and managing the risks of pests, </w:t>
      </w:r>
      <w:proofErr w:type="gramStart"/>
      <w:r w:rsidRPr="004A7EDA">
        <w:rPr>
          <w:lang w:val="en-GB"/>
        </w:rPr>
        <w:t>diseases</w:t>
      </w:r>
      <w:proofErr w:type="gramEnd"/>
      <w:r w:rsidRPr="004A7EDA">
        <w:rPr>
          <w:lang w:val="en-GB"/>
        </w:rPr>
        <w:t xml:space="preserve"> and chemical use. The department undertakes research and development to develop new technologies and </w:t>
      </w:r>
      <w:proofErr w:type="gramStart"/>
      <w:r w:rsidRPr="004A7EDA">
        <w:rPr>
          <w:lang w:val="en-GB"/>
        </w:rPr>
        <w:t>practices, and</w:t>
      </w:r>
      <w:proofErr w:type="gramEnd"/>
      <w:r w:rsidRPr="004A7EDA">
        <w:rPr>
          <w:lang w:val="en-GB"/>
        </w:rPr>
        <w:t xml:space="preserve"> provides services to enhance their adoption to increase farm productivity and supply chain efficiencies. It provides policy advice and support to industries and businesses to innovate, manage economic and climatic volatility, natural </w:t>
      </w:r>
      <w:proofErr w:type="gramStart"/>
      <w:r w:rsidRPr="004A7EDA">
        <w:rPr>
          <w:lang w:val="en-GB"/>
        </w:rPr>
        <w:t>disasters</w:t>
      </w:r>
      <w:proofErr w:type="gramEnd"/>
      <w:r w:rsidRPr="004A7EDA">
        <w:rPr>
          <w:lang w:val="en-GB"/>
        </w:rPr>
        <w:t xml:space="preserve"> and biosecurity emergencies, and meet consumer and community expectations for food quality, food safety and animal welfare and environmental standards.</w:t>
      </w:r>
    </w:p>
    <w:p w14:paraId="6897A0EA" w14:textId="77777777" w:rsidR="004A7EDA" w:rsidRPr="004A7EDA" w:rsidRDefault="004A7EDA" w:rsidP="004A7EDA">
      <w:pPr>
        <w:rPr>
          <w:lang w:val="en-GB"/>
        </w:rPr>
      </w:pPr>
      <w:r w:rsidRPr="004A7EDA">
        <w:rPr>
          <w:lang w:val="en-GB"/>
        </w:rPr>
        <w:t>The output also creates the conditions to grow the natural resources economy by ensuring forestry and game resources are sustainably allocated and used for both recreational and commercial purposes.</w:t>
      </w:r>
    </w:p>
    <w:p w14:paraId="1C051C28" w14:textId="77777777" w:rsidR="004A7EDA" w:rsidRPr="004A7EDA" w:rsidRDefault="004A7EDA" w:rsidP="00BE1D1E">
      <w:pPr>
        <w:pStyle w:val="Heading5"/>
        <w:rPr>
          <w:lang w:val="en-GB"/>
        </w:rPr>
      </w:pPr>
      <w:r w:rsidRPr="004A7EDA">
        <w:rPr>
          <w:lang w:val="en-GB"/>
        </w:rPr>
        <w:t>Table 30: Output – Agriculture</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43"/>
        <w:gridCol w:w="1020"/>
        <w:gridCol w:w="1019"/>
        <w:gridCol w:w="1020"/>
        <w:gridCol w:w="1380"/>
        <w:gridCol w:w="1024"/>
      </w:tblGrid>
      <w:tr w:rsidR="004A7EDA" w:rsidRPr="00286AE3" w14:paraId="1D581172" w14:textId="77777777" w:rsidTr="00286AE3">
        <w:trPr>
          <w:trHeight w:val="113"/>
          <w:tblHeader/>
        </w:trPr>
        <w:tc>
          <w:tcPr>
            <w:tcW w:w="4743" w:type="dxa"/>
            <w:shd w:val="clear" w:color="auto" w:fill="auto"/>
            <w:tcMar>
              <w:top w:w="113" w:type="dxa"/>
              <w:left w:w="28" w:type="dxa"/>
              <w:bottom w:w="113" w:type="dxa"/>
              <w:right w:w="28" w:type="dxa"/>
            </w:tcMar>
          </w:tcPr>
          <w:p w14:paraId="0B15FAA2" w14:textId="77777777" w:rsidR="004A7EDA" w:rsidRPr="00286AE3" w:rsidRDefault="004A7EDA" w:rsidP="00286AE3">
            <w:pPr>
              <w:pStyle w:val="TableHeading"/>
            </w:pPr>
            <w:r w:rsidRPr="00286AE3">
              <w:t>Performance measures</w:t>
            </w:r>
          </w:p>
        </w:tc>
        <w:tc>
          <w:tcPr>
            <w:tcW w:w="1020" w:type="dxa"/>
            <w:shd w:val="clear" w:color="auto" w:fill="auto"/>
            <w:tcMar>
              <w:top w:w="113" w:type="dxa"/>
              <w:left w:w="28" w:type="dxa"/>
              <w:bottom w:w="113" w:type="dxa"/>
              <w:right w:w="28" w:type="dxa"/>
            </w:tcMar>
          </w:tcPr>
          <w:p w14:paraId="653CD2FE" w14:textId="77777777" w:rsidR="004A7EDA" w:rsidRPr="00286AE3" w:rsidRDefault="004A7EDA" w:rsidP="00286AE3">
            <w:pPr>
              <w:pStyle w:val="TableHeading"/>
            </w:pPr>
            <w:r w:rsidRPr="00286AE3">
              <w:t>Unit of measure</w:t>
            </w:r>
          </w:p>
        </w:tc>
        <w:tc>
          <w:tcPr>
            <w:tcW w:w="1019" w:type="dxa"/>
            <w:shd w:val="clear" w:color="auto" w:fill="auto"/>
            <w:tcMar>
              <w:top w:w="113" w:type="dxa"/>
              <w:left w:w="28" w:type="dxa"/>
              <w:bottom w:w="113" w:type="dxa"/>
              <w:right w:w="28" w:type="dxa"/>
            </w:tcMar>
          </w:tcPr>
          <w:p w14:paraId="697758AD" w14:textId="77777777" w:rsidR="004A7EDA" w:rsidRPr="00286AE3" w:rsidRDefault="004A7EDA" w:rsidP="00286AE3">
            <w:pPr>
              <w:pStyle w:val="TableHeading"/>
            </w:pPr>
            <w:r w:rsidRPr="00286AE3">
              <w:t>2020–21 actual</w:t>
            </w:r>
          </w:p>
        </w:tc>
        <w:tc>
          <w:tcPr>
            <w:tcW w:w="1020" w:type="dxa"/>
            <w:shd w:val="clear" w:color="auto" w:fill="auto"/>
            <w:tcMar>
              <w:top w:w="113" w:type="dxa"/>
              <w:left w:w="28" w:type="dxa"/>
              <w:bottom w:w="113" w:type="dxa"/>
              <w:right w:w="28" w:type="dxa"/>
            </w:tcMar>
          </w:tcPr>
          <w:p w14:paraId="2291CF19" w14:textId="77777777" w:rsidR="004A7EDA" w:rsidRPr="00286AE3" w:rsidRDefault="004A7EDA" w:rsidP="00286AE3">
            <w:pPr>
              <w:pStyle w:val="TableHeading"/>
            </w:pPr>
            <w:r w:rsidRPr="00286AE3">
              <w:t>2020–21 target</w:t>
            </w:r>
          </w:p>
        </w:tc>
        <w:tc>
          <w:tcPr>
            <w:tcW w:w="1380" w:type="dxa"/>
            <w:shd w:val="clear" w:color="auto" w:fill="auto"/>
            <w:tcMar>
              <w:top w:w="113" w:type="dxa"/>
              <w:left w:w="28" w:type="dxa"/>
              <w:bottom w:w="113" w:type="dxa"/>
              <w:right w:w="28" w:type="dxa"/>
            </w:tcMar>
          </w:tcPr>
          <w:p w14:paraId="4EC2BB49" w14:textId="77777777" w:rsidR="004A7EDA" w:rsidRPr="00286AE3" w:rsidRDefault="004A7EDA" w:rsidP="00286AE3">
            <w:pPr>
              <w:pStyle w:val="TableHeading"/>
            </w:pPr>
            <w:r w:rsidRPr="00286AE3">
              <w:t>Performance variation (%)</w:t>
            </w:r>
          </w:p>
        </w:tc>
        <w:tc>
          <w:tcPr>
            <w:tcW w:w="1024" w:type="dxa"/>
            <w:shd w:val="clear" w:color="auto" w:fill="auto"/>
            <w:tcMar>
              <w:top w:w="113" w:type="dxa"/>
              <w:left w:w="28" w:type="dxa"/>
              <w:bottom w:w="113" w:type="dxa"/>
              <w:right w:w="28" w:type="dxa"/>
            </w:tcMar>
          </w:tcPr>
          <w:p w14:paraId="1F97CB1E" w14:textId="77777777" w:rsidR="004A7EDA" w:rsidRPr="00286AE3" w:rsidRDefault="004A7EDA" w:rsidP="00286AE3">
            <w:pPr>
              <w:pStyle w:val="TableHeading"/>
            </w:pPr>
            <w:r w:rsidRPr="00286AE3">
              <w:t>Result</w:t>
            </w:r>
          </w:p>
        </w:tc>
      </w:tr>
      <w:tr w:rsidR="004A7EDA" w:rsidRPr="0041342C" w14:paraId="216DFA74" w14:textId="77777777" w:rsidTr="0041342C">
        <w:trPr>
          <w:trHeight w:val="113"/>
        </w:trPr>
        <w:tc>
          <w:tcPr>
            <w:tcW w:w="10206" w:type="dxa"/>
            <w:gridSpan w:val="6"/>
            <w:shd w:val="clear" w:color="auto" w:fill="auto"/>
            <w:tcMar>
              <w:top w:w="113" w:type="dxa"/>
              <w:left w:w="28" w:type="dxa"/>
              <w:bottom w:w="113" w:type="dxa"/>
              <w:right w:w="28" w:type="dxa"/>
            </w:tcMar>
          </w:tcPr>
          <w:p w14:paraId="56A20A32" w14:textId="77777777" w:rsidR="004A7EDA" w:rsidRPr="0041342C" w:rsidRDefault="004A7EDA" w:rsidP="00286AE3">
            <w:pPr>
              <w:pStyle w:val="TableCopy"/>
            </w:pPr>
            <w:r w:rsidRPr="0041342C">
              <w:t>Agriculture Industry Development and Regulation</w:t>
            </w:r>
          </w:p>
        </w:tc>
      </w:tr>
      <w:tr w:rsidR="004A7EDA" w:rsidRPr="004A7EDA" w14:paraId="68261000" w14:textId="77777777" w:rsidTr="0041342C">
        <w:trPr>
          <w:trHeight w:val="113"/>
        </w:trPr>
        <w:tc>
          <w:tcPr>
            <w:tcW w:w="10206" w:type="dxa"/>
            <w:gridSpan w:val="6"/>
            <w:shd w:val="clear" w:color="auto" w:fill="auto"/>
            <w:tcMar>
              <w:top w:w="113" w:type="dxa"/>
              <w:left w:w="28" w:type="dxa"/>
              <w:bottom w:w="113" w:type="dxa"/>
              <w:right w:w="28" w:type="dxa"/>
            </w:tcMar>
          </w:tcPr>
          <w:p w14:paraId="132E0943" w14:textId="77777777" w:rsidR="004A7EDA" w:rsidRPr="004A7EDA" w:rsidRDefault="004A7EDA" w:rsidP="00286AE3">
            <w:pPr>
              <w:pStyle w:val="TableCopy"/>
            </w:pPr>
            <w:r w:rsidRPr="004A7EDA">
              <w:t xml:space="preserve">This sub-output supports a more productive, competitive, </w:t>
            </w:r>
            <w:proofErr w:type="gramStart"/>
            <w:r w:rsidRPr="004A7EDA">
              <w:t>sustainable</w:t>
            </w:r>
            <w:proofErr w:type="gramEnd"/>
            <w:r w:rsidRPr="004A7EDA">
              <w:t xml:space="preserve"> and jobs-rich food and </w:t>
            </w:r>
            <w:proofErr w:type="spellStart"/>
            <w:r w:rsidRPr="004A7EDA">
              <w:t>fibre</w:t>
            </w:r>
            <w:proofErr w:type="spellEnd"/>
            <w:r w:rsidRPr="004A7EDA">
              <w:t xml:space="preserve"> sector by delivering policy advice, regulation and support to meet consumer and community expectations for agriculture industry development, pets and animal welfare, regulatory policies and frameworks.</w:t>
            </w:r>
          </w:p>
        </w:tc>
      </w:tr>
      <w:tr w:rsidR="004A7EDA" w:rsidRPr="004A7EDA" w14:paraId="2B18DCBB" w14:textId="77777777" w:rsidTr="0041342C">
        <w:trPr>
          <w:trHeight w:val="113"/>
        </w:trPr>
        <w:tc>
          <w:tcPr>
            <w:tcW w:w="10206" w:type="dxa"/>
            <w:gridSpan w:val="6"/>
            <w:shd w:val="clear" w:color="auto" w:fill="auto"/>
            <w:tcMar>
              <w:top w:w="113" w:type="dxa"/>
              <w:left w:w="28" w:type="dxa"/>
              <w:bottom w:w="113" w:type="dxa"/>
              <w:right w:w="28" w:type="dxa"/>
            </w:tcMar>
          </w:tcPr>
          <w:p w14:paraId="1740C6D7" w14:textId="77777777" w:rsidR="004A7EDA" w:rsidRPr="004A7EDA" w:rsidRDefault="004A7EDA" w:rsidP="00286AE3">
            <w:pPr>
              <w:pStyle w:val="TableCopy"/>
              <w:rPr>
                <w:lang w:val="en-GB"/>
              </w:rPr>
            </w:pPr>
            <w:r w:rsidRPr="004A7EDA">
              <w:rPr>
                <w:lang w:val="en-GB"/>
              </w:rPr>
              <w:t>Quantity</w:t>
            </w:r>
          </w:p>
        </w:tc>
      </w:tr>
      <w:tr w:rsidR="004A7EDA" w:rsidRPr="004A7EDA" w14:paraId="695F0B8C" w14:textId="77777777" w:rsidTr="00286AE3">
        <w:trPr>
          <w:trHeight w:val="113"/>
        </w:trPr>
        <w:tc>
          <w:tcPr>
            <w:tcW w:w="4743" w:type="dxa"/>
            <w:shd w:val="clear" w:color="auto" w:fill="auto"/>
            <w:tcMar>
              <w:top w:w="113" w:type="dxa"/>
              <w:left w:w="28" w:type="dxa"/>
              <w:bottom w:w="113" w:type="dxa"/>
              <w:right w:w="28" w:type="dxa"/>
            </w:tcMar>
          </w:tcPr>
          <w:p w14:paraId="73D8B55E" w14:textId="77777777" w:rsidR="004A7EDA" w:rsidRPr="004A7EDA" w:rsidRDefault="004A7EDA" w:rsidP="00286AE3">
            <w:pPr>
              <w:pStyle w:val="TableCopy"/>
              <w:rPr>
                <w:lang w:val="en-GB"/>
              </w:rPr>
            </w:pPr>
            <w:r w:rsidRPr="004A7EDA">
              <w:rPr>
                <w:lang w:val="en-GB"/>
              </w:rPr>
              <w:t>Farms and related small businesses facing</w:t>
            </w:r>
            <w:r w:rsidRPr="004A7EDA">
              <w:rPr>
                <w:lang w:val="en-GB"/>
              </w:rPr>
              <w:br/>
              <w:t>significant adjustment pressures supported</w:t>
            </w:r>
            <w:r w:rsidRPr="004A7EDA">
              <w:rPr>
                <w:lang w:val="en-GB"/>
              </w:rPr>
              <w:br/>
              <w:t>to make better-informed decisions by the</w:t>
            </w:r>
            <w:r w:rsidRPr="004A7EDA">
              <w:rPr>
                <w:lang w:val="en-GB"/>
              </w:rPr>
              <w:br/>
              <w:t>Rural Financial Counselling Service</w:t>
            </w:r>
          </w:p>
        </w:tc>
        <w:tc>
          <w:tcPr>
            <w:tcW w:w="1020" w:type="dxa"/>
            <w:shd w:val="clear" w:color="auto" w:fill="auto"/>
            <w:tcMar>
              <w:top w:w="113" w:type="dxa"/>
              <w:left w:w="28" w:type="dxa"/>
              <w:bottom w:w="113" w:type="dxa"/>
              <w:right w:w="28" w:type="dxa"/>
            </w:tcMar>
          </w:tcPr>
          <w:p w14:paraId="5BB2C345"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73FA0C19" w14:textId="77777777" w:rsidR="004A7EDA" w:rsidRPr="004A7EDA" w:rsidRDefault="004A7EDA" w:rsidP="00286AE3">
            <w:pPr>
              <w:pStyle w:val="TableCopy"/>
              <w:rPr>
                <w:lang w:val="en-GB"/>
              </w:rPr>
            </w:pPr>
            <w:r w:rsidRPr="004A7EDA">
              <w:rPr>
                <w:lang w:val="en-GB"/>
              </w:rPr>
              <w:t>1,511</w:t>
            </w:r>
          </w:p>
        </w:tc>
        <w:tc>
          <w:tcPr>
            <w:tcW w:w="1020" w:type="dxa"/>
            <w:shd w:val="clear" w:color="auto" w:fill="auto"/>
            <w:tcMar>
              <w:top w:w="113" w:type="dxa"/>
              <w:left w:w="28" w:type="dxa"/>
              <w:bottom w:w="113" w:type="dxa"/>
              <w:right w:w="28" w:type="dxa"/>
            </w:tcMar>
          </w:tcPr>
          <w:p w14:paraId="5AAF19B6" w14:textId="77777777" w:rsidR="004A7EDA" w:rsidRPr="004A7EDA" w:rsidRDefault="004A7EDA" w:rsidP="00286AE3">
            <w:pPr>
              <w:pStyle w:val="TableCopy"/>
              <w:rPr>
                <w:lang w:val="en-GB"/>
              </w:rPr>
            </w:pPr>
            <w:r w:rsidRPr="004A7EDA">
              <w:rPr>
                <w:lang w:val="en-GB"/>
              </w:rPr>
              <w:t>1,700</w:t>
            </w:r>
          </w:p>
        </w:tc>
        <w:tc>
          <w:tcPr>
            <w:tcW w:w="1380" w:type="dxa"/>
            <w:shd w:val="clear" w:color="auto" w:fill="auto"/>
            <w:tcMar>
              <w:top w:w="113" w:type="dxa"/>
              <w:left w:w="28" w:type="dxa"/>
              <w:bottom w:w="113" w:type="dxa"/>
              <w:right w:w="28" w:type="dxa"/>
            </w:tcMar>
          </w:tcPr>
          <w:p w14:paraId="0A7A3410" w14:textId="77777777" w:rsidR="004A7EDA" w:rsidRPr="004A7EDA" w:rsidRDefault="004A7EDA" w:rsidP="00286AE3">
            <w:pPr>
              <w:pStyle w:val="TableCopy"/>
              <w:rPr>
                <w:lang w:val="en-GB"/>
              </w:rPr>
            </w:pPr>
            <w:r w:rsidRPr="004A7EDA">
              <w:rPr>
                <w:lang w:val="en-GB"/>
              </w:rPr>
              <w:t>-11.1%</w:t>
            </w:r>
          </w:p>
        </w:tc>
        <w:tc>
          <w:tcPr>
            <w:tcW w:w="1024" w:type="dxa"/>
            <w:shd w:val="clear" w:color="auto" w:fill="auto"/>
            <w:tcMar>
              <w:top w:w="113" w:type="dxa"/>
              <w:left w:w="28" w:type="dxa"/>
              <w:bottom w:w="113" w:type="dxa"/>
              <w:right w:w="28" w:type="dxa"/>
            </w:tcMar>
          </w:tcPr>
          <w:p w14:paraId="0D2BEE3B" w14:textId="78BAC63B" w:rsidR="004A7EDA" w:rsidRPr="004A7EDA" w:rsidRDefault="00BE1D1E" w:rsidP="00286AE3">
            <w:pPr>
              <w:pStyle w:val="TableCopy"/>
              <w:rPr>
                <w:lang w:val="en-GB"/>
              </w:rPr>
            </w:pPr>
            <w:r>
              <w:rPr>
                <w:lang w:val="en-GB"/>
              </w:rPr>
              <w:t>#</w:t>
            </w:r>
          </w:p>
        </w:tc>
      </w:tr>
      <w:tr w:rsidR="004A7EDA" w:rsidRPr="004A7EDA" w14:paraId="1AFE054B" w14:textId="77777777" w:rsidTr="0041342C">
        <w:trPr>
          <w:trHeight w:val="113"/>
        </w:trPr>
        <w:tc>
          <w:tcPr>
            <w:tcW w:w="10206" w:type="dxa"/>
            <w:gridSpan w:val="6"/>
            <w:shd w:val="clear" w:color="auto" w:fill="auto"/>
            <w:tcMar>
              <w:top w:w="113" w:type="dxa"/>
              <w:left w:w="113" w:type="dxa"/>
              <w:bottom w:w="113" w:type="dxa"/>
              <w:right w:w="113" w:type="dxa"/>
            </w:tcMar>
          </w:tcPr>
          <w:p w14:paraId="7E4AE9F3" w14:textId="77777777" w:rsidR="004A7EDA" w:rsidRPr="004A7EDA" w:rsidRDefault="004A7EDA" w:rsidP="00286AE3">
            <w:pPr>
              <w:pStyle w:val="TableCopy"/>
            </w:pPr>
            <w:r w:rsidRPr="004A7EDA">
              <w:t>Lower result due to favourable seasonal conditions and commodity pricing, indicating less financial stress for farmers and therefore less demand for the Rural Financial Counselling Service, which is a demand driven service.</w:t>
            </w:r>
          </w:p>
        </w:tc>
      </w:tr>
      <w:tr w:rsidR="004A7EDA" w:rsidRPr="004A7EDA" w14:paraId="061B9A51" w14:textId="77777777" w:rsidTr="00286AE3">
        <w:trPr>
          <w:trHeight w:val="113"/>
        </w:trPr>
        <w:tc>
          <w:tcPr>
            <w:tcW w:w="4743" w:type="dxa"/>
            <w:shd w:val="clear" w:color="auto" w:fill="auto"/>
            <w:tcMar>
              <w:top w:w="113" w:type="dxa"/>
              <w:left w:w="28" w:type="dxa"/>
              <w:bottom w:w="113" w:type="dxa"/>
              <w:right w:w="28" w:type="dxa"/>
            </w:tcMar>
          </w:tcPr>
          <w:p w14:paraId="1E1DC505" w14:textId="77777777" w:rsidR="004A7EDA" w:rsidRPr="004A7EDA" w:rsidRDefault="004A7EDA" w:rsidP="00286AE3">
            <w:pPr>
              <w:pStyle w:val="TableCopy"/>
              <w:rPr>
                <w:lang w:val="en-GB"/>
              </w:rPr>
            </w:pPr>
            <w:r w:rsidRPr="004A7EDA">
              <w:rPr>
                <w:lang w:val="en-GB"/>
              </w:rPr>
              <w:t>Inspections or audits of scientific establishments undertaken to provide assurance of compliance with relevant industry standards for animal welfare</w:t>
            </w:r>
          </w:p>
        </w:tc>
        <w:tc>
          <w:tcPr>
            <w:tcW w:w="1020" w:type="dxa"/>
            <w:shd w:val="clear" w:color="auto" w:fill="auto"/>
            <w:tcMar>
              <w:top w:w="113" w:type="dxa"/>
              <w:left w:w="28" w:type="dxa"/>
              <w:bottom w:w="113" w:type="dxa"/>
              <w:right w:w="28" w:type="dxa"/>
            </w:tcMar>
          </w:tcPr>
          <w:p w14:paraId="771C222F"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0D586F52" w14:textId="77777777" w:rsidR="004A7EDA" w:rsidRPr="004A7EDA" w:rsidRDefault="004A7EDA" w:rsidP="00286AE3">
            <w:pPr>
              <w:pStyle w:val="TableCopy"/>
              <w:rPr>
                <w:lang w:val="en-GB"/>
              </w:rPr>
            </w:pPr>
            <w:r w:rsidRPr="004A7EDA">
              <w:rPr>
                <w:lang w:val="en-GB"/>
              </w:rPr>
              <w:t>18</w:t>
            </w:r>
          </w:p>
        </w:tc>
        <w:tc>
          <w:tcPr>
            <w:tcW w:w="1020" w:type="dxa"/>
            <w:shd w:val="clear" w:color="auto" w:fill="auto"/>
            <w:tcMar>
              <w:top w:w="113" w:type="dxa"/>
              <w:left w:w="28" w:type="dxa"/>
              <w:bottom w:w="113" w:type="dxa"/>
              <w:right w:w="28" w:type="dxa"/>
            </w:tcMar>
          </w:tcPr>
          <w:p w14:paraId="14B35537" w14:textId="77777777" w:rsidR="004A7EDA" w:rsidRPr="004A7EDA" w:rsidRDefault="004A7EDA" w:rsidP="00286AE3">
            <w:pPr>
              <w:pStyle w:val="TableCopy"/>
              <w:rPr>
                <w:lang w:val="en-GB"/>
              </w:rPr>
            </w:pPr>
            <w:r w:rsidRPr="004A7EDA">
              <w:rPr>
                <w:lang w:val="en-GB"/>
              </w:rPr>
              <w:t>25</w:t>
            </w:r>
          </w:p>
        </w:tc>
        <w:tc>
          <w:tcPr>
            <w:tcW w:w="1380" w:type="dxa"/>
            <w:shd w:val="clear" w:color="auto" w:fill="auto"/>
            <w:tcMar>
              <w:top w:w="113" w:type="dxa"/>
              <w:left w:w="28" w:type="dxa"/>
              <w:bottom w:w="113" w:type="dxa"/>
              <w:right w:w="28" w:type="dxa"/>
            </w:tcMar>
          </w:tcPr>
          <w:p w14:paraId="3ED8C9D7" w14:textId="77777777" w:rsidR="004A7EDA" w:rsidRPr="004A7EDA" w:rsidRDefault="004A7EDA" w:rsidP="00286AE3">
            <w:pPr>
              <w:pStyle w:val="TableCopy"/>
              <w:rPr>
                <w:lang w:val="en-GB"/>
              </w:rPr>
            </w:pPr>
            <w:r w:rsidRPr="004A7EDA">
              <w:rPr>
                <w:lang w:val="en-GB"/>
              </w:rPr>
              <w:t>-28.0%</w:t>
            </w:r>
          </w:p>
        </w:tc>
        <w:tc>
          <w:tcPr>
            <w:tcW w:w="1024" w:type="dxa"/>
            <w:shd w:val="clear" w:color="auto" w:fill="auto"/>
            <w:tcMar>
              <w:top w:w="113" w:type="dxa"/>
              <w:left w:w="28" w:type="dxa"/>
              <w:bottom w:w="113" w:type="dxa"/>
              <w:right w:w="28" w:type="dxa"/>
            </w:tcMar>
          </w:tcPr>
          <w:p w14:paraId="1DC4130D" w14:textId="1AC2342B" w:rsidR="004A7EDA" w:rsidRPr="004A7EDA" w:rsidRDefault="00BE1D1E" w:rsidP="00286AE3">
            <w:pPr>
              <w:pStyle w:val="TableCopy"/>
              <w:rPr>
                <w:lang w:val="en-GB"/>
              </w:rPr>
            </w:pPr>
            <w:r>
              <w:rPr>
                <w:lang w:val="en-GB"/>
              </w:rPr>
              <w:t>#</w:t>
            </w:r>
          </w:p>
        </w:tc>
      </w:tr>
      <w:tr w:rsidR="004A7EDA" w:rsidRPr="004A7EDA" w14:paraId="32E473C9" w14:textId="77777777" w:rsidTr="0041342C">
        <w:trPr>
          <w:trHeight w:val="113"/>
        </w:trPr>
        <w:tc>
          <w:tcPr>
            <w:tcW w:w="10206" w:type="dxa"/>
            <w:gridSpan w:val="6"/>
            <w:shd w:val="clear" w:color="auto" w:fill="auto"/>
            <w:tcMar>
              <w:top w:w="113" w:type="dxa"/>
              <w:left w:w="113" w:type="dxa"/>
              <w:bottom w:w="113" w:type="dxa"/>
              <w:right w:w="113" w:type="dxa"/>
            </w:tcMar>
          </w:tcPr>
          <w:p w14:paraId="6BFBB891" w14:textId="77777777" w:rsidR="004A7EDA" w:rsidRPr="004A7EDA" w:rsidRDefault="004A7EDA" w:rsidP="00286AE3">
            <w:pPr>
              <w:pStyle w:val="TableCopy"/>
            </w:pPr>
            <w:r w:rsidRPr="004A7EDA">
              <w:t>Lower result due to COVID-19 restrictions which impacted the ability to conduct site visits for inspections and audits. Emergency deployments of staff also reduced capacity.</w:t>
            </w:r>
          </w:p>
        </w:tc>
      </w:tr>
      <w:tr w:rsidR="004A7EDA" w:rsidRPr="004A7EDA" w14:paraId="53B644DF" w14:textId="77777777" w:rsidTr="00286AE3">
        <w:trPr>
          <w:trHeight w:val="113"/>
        </w:trPr>
        <w:tc>
          <w:tcPr>
            <w:tcW w:w="4743" w:type="dxa"/>
            <w:shd w:val="clear" w:color="auto" w:fill="auto"/>
            <w:tcMar>
              <w:top w:w="113" w:type="dxa"/>
              <w:left w:w="28" w:type="dxa"/>
              <w:bottom w:w="113" w:type="dxa"/>
              <w:right w:w="28" w:type="dxa"/>
            </w:tcMar>
          </w:tcPr>
          <w:p w14:paraId="013AA916" w14:textId="77777777" w:rsidR="004A7EDA" w:rsidRPr="004A7EDA" w:rsidRDefault="004A7EDA" w:rsidP="00286AE3">
            <w:pPr>
              <w:pStyle w:val="TableCopy"/>
              <w:rPr>
                <w:lang w:val="en-GB"/>
              </w:rPr>
            </w:pPr>
            <w:r w:rsidRPr="004A7EDA">
              <w:rPr>
                <w:lang w:val="en-GB"/>
              </w:rPr>
              <w:t>Number of small scale local and craft producers attending workshops / mentoring programs</w:t>
            </w:r>
          </w:p>
        </w:tc>
        <w:tc>
          <w:tcPr>
            <w:tcW w:w="1020" w:type="dxa"/>
            <w:shd w:val="clear" w:color="auto" w:fill="auto"/>
            <w:tcMar>
              <w:top w:w="113" w:type="dxa"/>
              <w:left w:w="28" w:type="dxa"/>
              <w:bottom w:w="113" w:type="dxa"/>
              <w:right w:w="28" w:type="dxa"/>
            </w:tcMar>
          </w:tcPr>
          <w:p w14:paraId="427553E9"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2A20DDD9" w14:textId="77777777" w:rsidR="004A7EDA" w:rsidRPr="004A7EDA" w:rsidRDefault="004A7EDA" w:rsidP="00286AE3">
            <w:pPr>
              <w:pStyle w:val="TableCopy"/>
              <w:rPr>
                <w:lang w:val="en-GB"/>
              </w:rPr>
            </w:pPr>
            <w:r w:rsidRPr="004A7EDA">
              <w:rPr>
                <w:lang w:val="en-GB"/>
              </w:rPr>
              <w:t>52</w:t>
            </w:r>
          </w:p>
        </w:tc>
        <w:tc>
          <w:tcPr>
            <w:tcW w:w="1020" w:type="dxa"/>
            <w:shd w:val="clear" w:color="auto" w:fill="auto"/>
            <w:tcMar>
              <w:top w:w="113" w:type="dxa"/>
              <w:left w:w="28" w:type="dxa"/>
              <w:bottom w:w="113" w:type="dxa"/>
              <w:right w:w="28" w:type="dxa"/>
            </w:tcMar>
          </w:tcPr>
          <w:p w14:paraId="49EBA8B8" w14:textId="77777777" w:rsidR="004A7EDA" w:rsidRPr="004A7EDA" w:rsidRDefault="004A7EDA" w:rsidP="00286AE3">
            <w:pPr>
              <w:pStyle w:val="TableCopy"/>
              <w:rPr>
                <w:lang w:val="en-GB"/>
              </w:rPr>
            </w:pPr>
            <w:r w:rsidRPr="004A7EDA">
              <w:rPr>
                <w:lang w:val="en-GB"/>
              </w:rPr>
              <w:t>50</w:t>
            </w:r>
          </w:p>
        </w:tc>
        <w:tc>
          <w:tcPr>
            <w:tcW w:w="1380" w:type="dxa"/>
            <w:shd w:val="clear" w:color="auto" w:fill="auto"/>
            <w:tcMar>
              <w:top w:w="113" w:type="dxa"/>
              <w:left w:w="28" w:type="dxa"/>
              <w:bottom w:w="113" w:type="dxa"/>
              <w:right w:w="28" w:type="dxa"/>
            </w:tcMar>
          </w:tcPr>
          <w:p w14:paraId="70B48158" w14:textId="77777777" w:rsidR="004A7EDA" w:rsidRPr="004A7EDA" w:rsidRDefault="004A7EDA" w:rsidP="00286AE3">
            <w:pPr>
              <w:pStyle w:val="TableCopy"/>
              <w:rPr>
                <w:lang w:val="en-GB"/>
              </w:rPr>
            </w:pPr>
            <w:r w:rsidRPr="004A7EDA">
              <w:rPr>
                <w:lang w:val="en-GB"/>
              </w:rPr>
              <w:t>4.0%</w:t>
            </w:r>
          </w:p>
        </w:tc>
        <w:tc>
          <w:tcPr>
            <w:tcW w:w="1024" w:type="dxa"/>
            <w:shd w:val="clear" w:color="auto" w:fill="auto"/>
            <w:tcMar>
              <w:top w:w="113" w:type="dxa"/>
              <w:left w:w="28" w:type="dxa"/>
              <w:bottom w:w="113" w:type="dxa"/>
              <w:right w:w="28" w:type="dxa"/>
            </w:tcMar>
          </w:tcPr>
          <w:p w14:paraId="57D2F964" w14:textId="61013FFC" w:rsidR="004A7EDA" w:rsidRPr="004A7EDA" w:rsidRDefault="00BE1D1E" w:rsidP="00286AE3">
            <w:pPr>
              <w:pStyle w:val="TableCopy"/>
              <w:rPr>
                <w:lang w:val="en-GB"/>
              </w:rPr>
            </w:pPr>
            <w:r>
              <w:rPr>
                <w:lang w:val="en-GB"/>
              </w:rPr>
              <w:t>*</w:t>
            </w:r>
          </w:p>
        </w:tc>
      </w:tr>
      <w:tr w:rsidR="004A7EDA" w:rsidRPr="004A7EDA" w14:paraId="5071DF77" w14:textId="77777777" w:rsidTr="00286AE3">
        <w:trPr>
          <w:trHeight w:val="113"/>
        </w:trPr>
        <w:tc>
          <w:tcPr>
            <w:tcW w:w="4743" w:type="dxa"/>
            <w:shd w:val="clear" w:color="auto" w:fill="auto"/>
            <w:tcMar>
              <w:top w:w="113" w:type="dxa"/>
              <w:left w:w="28" w:type="dxa"/>
              <w:bottom w:w="113" w:type="dxa"/>
              <w:right w:w="28" w:type="dxa"/>
            </w:tcMar>
          </w:tcPr>
          <w:p w14:paraId="127D0D29" w14:textId="77777777" w:rsidR="004A7EDA" w:rsidRPr="004A7EDA" w:rsidRDefault="004A7EDA" w:rsidP="00286AE3">
            <w:pPr>
              <w:pStyle w:val="TableCopy"/>
              <w:rPr>
                <w:lang w:val="en-GB"/>
              </w:rPr>
            </w:pPr>
            <w:r w:rsidRPr="004A7EDA">
              <w:rPr>
                <w:lang w:val="en-GB"/>
              </w:rPr>
              <w:t>Strategic agriculture industry development</w:t>
            </w:r>
            <w:r w:rsidRPr="004A7EDA">
              <w:rPr>
                <w:lang w:val="en-GB"/>
              </w:rPr>
              <w:br/>
              <w:t>and regulatory policy briefings</w:t>
            </w:r>
          </w:p>
        </w:tc>
        <w:tc>
          <w:tcPr>
            <w:tcW w:w="1020" w:type="dxa"/>
            <w:shd w:val="clear" w:color="auto" w:fill="auto"/>
            <w:tcMar>
              <w:top w:w="113" w:type="dxa"/>
              <w:left w:w="28" w:type="dxa"/>
              <w:bottom w:w="113" w:type="dxa"/>
              <w:right w:w="28" w:type="dxa"/>
            </w:tcMar>
          </w:tcPr>
          <w:p w14:paraId="626E91D1"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46DCFA68" w14:textId="77777777" w:rsidR="004A7EDA" w:rsidRPr="004A7EDA" w:rsidRDefault="004A7EDA" w:rsidP="00286AE3">
            <w:pPr>
              <w:pStyle w:val="TableCopy"/>
              <w:rPr>
                <w:lang w:val="en-GB"/>
              </w:rPr>
            </w:pPr>
            <w:r w:rsidRPr="004A7EDA">
              <w:rPr>
                <w:lang w:val="en-GB"/>
              </w:rPr>
              <w:t>8</w:t>
            </w:r>
          </w:p>
        </w:tc>
        <w:tc>
          <w:tcPr>
            <w:tcW w:w="1020" w:type="dxa"/>
            <w:shd w:val="clear" w:color="auto" w:fill="auto"/>
            <w:tcMar>
              <w:top w:w="113" w:type="dxa"/>
              <w:left w:w="28" w:type="dxa"/>
              <w:bottom w:w="113" w:type="dxa"/>
              <w:right w:w="28" w:type="dxa"/>
            </w:tcMar>
          </w:tcPr>
          <w:p w14:paraId="267F4ECF" w14:textId="77777777" w:rsidR="004A7EDA" w:rsidRPr="004A7EDA" w:rsidRDefault="004A7EDA" w:rsidP="00286AE3">
            <w:pPr>
              <w:pStyle w:val="TableCopy"/>
              <w:rPr>
                <w:lang w:val="en-GB"/>
              </w:rPr>
            </w:pPr>
            <w:r w:rsidRPr="004A7EDA">
              <w:rPr>
                <w:lang w:val="en-GB"/>
              </w:rPr>
              <w:t>8</w:t>
            </w:r>
          </w:p>
        </w:tc>
        <w:tc>
          <w:tcPr>
            <w:tcW w:w="1380" w:type="dxa"/>
            <w:shd w:val="clear" w:color="auto" w:fill="auto"/>
            <w:tcMar>
              <w:top w:w="113" w:type="dxa"/>
              <w:left w:w="28" w:type="dxa"/>
              <w:bottom w:w="113" w:type="dxa"/>
              <w:right w:w="28" w:type="dxa"/>
            </w:tcMar>
          </w:tcPr>
          <w:p w14:paraId="7CFF2BAB"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643B4278" w14:textId="21230CA5" w:rsidR="004A7EDA" w:rsidRPr="004A7EDA" w:rsidRDefault="00BE1D1E" w:rsidP="00286AE3">
            <w:pPr>
              <w:pStyle w:val="TableCopy"/>
              <w:rPr>
                <w:lang w:val="en-GB"/>
              </w:rPr>
            </w:pPr>
            <w:r>
              <w:rPr>
                <w:lang w:val="en-GB"/>
              </w:rPr>
              <w:t>*</w:t>
            </w:r>
          </w:p>
        </w:tc>
      </w:tr>
      <w:tr w:rsidR="004A7EDA" w:rsidRPr="004A7EDA" w14:paraId="4FE4000E" w14:textId="77777777" w:rsidTr="00286AE3">
        <w:trPr>
          <w:trHeight w:val="113"/>
        </w:trPr>
        <w:tc>
          <w:tcPr>
            <w:tcW w:w="4743" w:type="dxa"/>
            <w:shd w:val="clear" w:color="auto" w:fill="auto"/>
            <w:tcMar>
              <w:top w:w="113" w:type="dxa"/>
              <w:left w:w="28" w:type="dxa"/>
              <w:bottom w:w="113" w:type="dxa"/>
              <w:right w:w="28" w:type="dxa"/>
            </w:tcMar>
          </w:tcPr>
          <w:p w14:paraId="3B96CB52" w14:textId="77777777" w:rsidR="004A7EDA" w:rsidRPr="004A7EDA" w:rsidRDefault="004A7EDA" w:rsidP="00286AE3">
            <w:pPr>
              <w:pStyle w:val="TableCopy"/>
              <w:rPr>
                <w:lang w:val="en-GB"/>
              </w:rPr>
            </w:pPr>
            <w:r w:rsidRPr="004A7EDA">
              <w:rPr>
                <w:lang w:val="en-GB"/>
              </w:rPr>
              <w:t>Visits of the Responsible Pet Ownership program</w:t>
            </w:r>
            <w:r w:rsidRPr="004A7EDA">
              <w:rPr>
                <w:lang w:val="en-GB"/>
              </w:rPr>
              <w:br/>
              <w:t>to Victorian kindergartens and primary schools</w:t>
            </w:r>
          </w:p>
        </w:tc>
        <w:tc>
          <w:tcPr>
            <w:tcW w:w="1020" w:type="dxa"/>
            <w:shd w:val="clear" w:color="auto" w:fill="auto"/>
            <w:tcMar>
              <w:top w:w="113" w:type="dxa"/>
              <w:left w:w="28" w:type="dxa"/>
              <w:bottom w:w="113" w:type="dxa"/>
              <w:right w:w="28" w:type="dxa"/>
            </w:tcMar>
          </w:tcPr>
          <w:p w14:paraId="2302E2A1"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40BD0C29" w14:textId="77777777" w:rsidR="004A7EDA" w:rsidRPr="004A7EDA" w:rsidRDefault="004A7EDA" w:rsidP="00286AE3">
            <w:pPr>
              <w:pStyle w:val="TableCopy"/>
              <w:rPr>
                <w:lang w:val="en-GB"/>
              </w:rPr>
            </w:pPr>
            <w:r w:rsidRPr="004A7EDA">
              <w:rPr>
                <w:lang w:val="en-GB"/>
              </w:rPr>
              <w:t>243</w:t>
            </w:r>
          </w:p>
        </w:tc>
        <w:tc>
          <w:tcPr>
            <w:tcW w:w="1020" w:type="dxa"/>
            <w:shd w:val="clear" w:color="auto" w:fill="auto"/>
            <w:tcMar>
              <w:top w:w="113" w:type="dxa"/>
              <w:left w:w="28" w:type="dxa"/>
              <w:bottom w:w="113" w:type="dxa"/>
              <w:right w:w="28" w:type="dxa"/>
            </w:tcMar>
          </w:tcPr>
          <w:p w14:paraId="2F885A49" w14:textId="77777777" w:rsidR="004A7EDA" w:rsidRPr="004A7EDA" w:rsidRDefault="004A7EDA" w:rsidP="00286AE3">
            <w:pPr>
              <w:pStyle w:val="TableCopy"/>
              <w:rPr>
                <w:lang w:val="en-GB"/>
              </w:rPr>
            </w:pPr>
            <w:r w:rsidRPr="004A7EDA">
              <w:rPr>
                <w:lang w:val="en-GB"/>
              </w:rPr>
              <w:t>3,100</w:t>
            </w:r>
          </w:p>
        </w:tc>
        <w:tc>
          <w:tcPr>
            <w:tcW w:w="1380" w:type="dxa"/>
            <w:shd w:val="clear" w:color="auto" w:fill="auto"/>
            <w:tcMar>
              <w:top w:w="113" w:type="dxa"/>
              <w:left w:w="28" w:type="dxa"/>
              <w:bottom w:w="113" w:type="dxa"/>
              <w:right w:w="28" w:type="dxa"/>
            </w:tcMar>
          </w:tcPr>
          <w:p w14:paraId="1CFC70BF" w14:textId="77777777" w:rsidR="004A7EDA" w:rsidRPr="004A7EDA" w:rsidRDefault="004A7EDA" w:rsidP="00286AE3">
            <w:pPr>
              <w:pStyle w:val="TableCopy"/>
              <w:rPr>
                <w:lang w:val="en-GB"/>
              </w:rPr>
            </w:pPr>
            <w:r w:rsidRPr="004A7EDA">
              <w:rPr>
                <w:lang w:val="en-GB"/>
              </w:rPr>
              <w:t>-92.2%</w:t>
            </w:r>
          </w:p>
        </w:tc>
        <w:tc>
          <w:tcPr>
            <w:tcW w:w="1024" w:type="dxa"/>
            <w:shd w:val="clear" w:color="auto" w:fill="auto"/>
            <w:tcMar>
              <w:top w:w="113" w:type="dxa"/>
              <w:left w:w="28" w:type="dxa"/>
              <w:bottom w:w="113" w:type="dxa"/>
              <w:right w:w="28" w:type="dxa"/>
            </w:tcMar>
          </w:tcPr>
          <w:p w14:paraId="1B7E1B24" w14:textId="4EF48EEC" w:rsidR="004A7EDA" w:rsidRPr="004A7EDA" w:rsidRDefault="00BE1D1E" w:rsidP="00286AE3">
            <w:pPr>
              <w:pStyle w:val="TableCopy"/>
              <w:rPr>
                <w:lang w:val="en-GB"/>
              </w:rPr>
            </w:pPr>
            <w:r>
              <w:rPr>
                <w:lang w:val="en-GB"/>
              </w:rPr>
              <w:t>#</w:t>
            </w:r>
          </w:p>
        </w:tc>
      </w:tr>
      <w:tr w:rsidR="004A7EDA" w:rsidRPr="004A7EDA" w14:paraId="369C739D" w14:textId="77777777" w:rsidTr="0041342C">
        <w:trPr>
          <w:trHeight w:val="113"/>
        </w:trPr>
        <w:tc>
          <w:tcPr>
            <w:tcW w:w="10206" w:type="dxa"/>
            <w:gridSpan w:val="6"/>
            <w:shd w:val="clear" w:color="auto" w:fill="auto"/>
            <w:tcMar>
              <w:top w:w="113" w:type="dxa"/>
              <w:left w:w="113" w:type="dxa"/>
              <w:bottom w:w="113" w:type="dxa"/>
              <w:right w:w="113" w:type="dxa"/>
            </w:tcMar>
          </w:tcPr>
          <w:p w14:paraId="78E2F9F7" w14:textId="77777777" w:rsidR="004A7EDA" w:rsidRPr="004A7EDA" w:rsidRDefault="004A7EDA" w:rsidP="00286AE3">
            <w:pPr>
              <w:pStyle w:val="TableCopy"/>
            </w:pPr>
            <w:r w:rsidRPr="004A7EDA">
              <w:t xml:space="preserve">Lower result due to COVID-19 restrictions, which required learning from home and prohibited external visitors to pre-schools and schools. Responsible Pet Ownership (RPO) educators and their dogs could not undertake school visits for an extended </w:t>
            </w:r>
            <w:proofErr w:type="gramStart"/>
            <w:r w:rsidRPr="004A7EDA">
              <w:t>period of time</w:t>
            </w:r>
            <w:proofErr w:type="gramEnd"/>
            <w:r w:rsidRPr="004A7EDA">
              <w:t xml:space="preserve">. Learning materials were developed to provide access to some aspects of the RPO Program online. </w:t>
            </w:r>
          </w:p>
        </w:tc>
      </w:tr>
      <w:tr w:rsidR="004A7EDA" w:rsidRPr="004A7EDA" w14:paraId="0B3EE479" w14:textId="77777777" w:rsidTr="00286AE3">
        <w:trPr>
          <w:trHeight w:val="113"/>
        </w:trPr>
        <w:tc>
          <w:tcPr>
            <w:tcW w:w="4743" w:type="dxa"/>
            <w:shd w:val="clear" w:color="auto" w:fill="auto"/>
            <w:tcMar>
              <w:top w:w="113" w:type="dxa"/>
              <w:left w:w="28" w:type="dxa"/>
              <w:bottom w:w="113" w:type="dxa"/>
              <w:right w:w="28" w:type="dxa"/>
            </w:tcMar>
          </w:tcPr>
          <w:p w14:paraId="2B0C23AE" w14:textId="77777777" w:rsidR="004A7EDA" w:rsidRPr="004A7EDA" w:rsidRDefault="004A7EDA" w:rsidP="00286AE3">
            <w:pPr>
              <w:pStyle w:val="TableCopy"/>
              <w:rPr>
                <w:lang w:val="en-GB"/>
              </w:rPr>
            </w:pPr>
            <w:r w:rsidRPr="004A7EDA">
              <w:rPr>
                <w:lang w:val="en-GB"/>
              </w:rPr>
              <w:t>Young farmer scholarships awarded</w:t>
            </w:r>
          </w:p>
        </w:tc>
        <w:tc>
          <w:tcPr>
            <w:tcW w:w="1020" w:type="dxa"/>
            <w:shd w:val="clear" w:color="auto" w:fill="auto"/>
            <w:tcMar>
              <w:top w:w="113" w:type="dxa"/>
              <w:left w:w="28" w:type="dxa"/>
              <w:bottom w:w="113" w:type="dxa"/>
              <w:right w:w="28" w:type="dxa"/>
            </w:tcMar>
          </w:tcPr>
          <w:p w14:paraId="0BC1954B"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1C8911E0" w14:textId="77777777" w:rsidR="004A7EDA" w:rsidRPr="004A7EDA" w:rsidRDefault="004A7EDA" w:rsidP="00286AE3">
            <w:pPr>
              <w:pStyle w:val="TableCopy"/>
              <w:rPr>
                <w:lang w:val="en-GB"/>
              </w:rPr>
            </w:pPr>
            <w:r w:rsidRPr="004A7EDA">
              <w:rPr>
                <w:lang w:val="en-GB"/>
              </w:rPr>
              <w:t>13</w:t>
            </w:r>
          </w:p>
        </w:tc>
        <w:tc>
          <w:tcPr>
            <w:tcW w:w="1020" w:type="dxa"/>
            <w:shd w:val="clear" w:color="auto" w:fill="auto"/>
            <w:tcMar>
              <w:top w:w="113" w:type="dxa"/>
              <w:left w:w="28" w:type="dxa"/>
              <w:bottom w:w="113" w:type="dxa"/>
              <w:right w:w="28" w:type="dxa"/>
            </w:tcMar>
          </w:tcPr>
          <w:p w14:paraId="517F779F" w14:textId="77777777" w:rsidR="004A7EDA" w:rsidRPr="004A7EDA" w:rsidRDefault="004A7EDA" w:rsidP="00286AE3">
            <w:pPr>
              <w:pStyle w:val="TableCopy"/>
              <w:rPr>
                <w:lang w:val="en-GB"/>
              </w:rPr>
            </w:pPr>
            <w:r w:rsidRPr="004A7EDA">
              <w:rPr>
                <w:lang w:val="en-GB"/>
              </w:rPr>
              <w:t>12</w:t>
            </w:r>
          </w:p>
        </w:tc>
        <w:tc>
          <w:tcPr>
            <w:tcW w:w="1380" w:type="dxa"/>
            <w:shd w:val="clear" w:color="auto" w:fill="auto"/>
            <w:tcMar>
              <w:top w:w="113" w:type="dxa"/>
              <w:left w:w="28" w:type="dxa"/>
              <w:bottom w:w="113" w:type="dxa"/>
              <w:right w:w="28" w:type="dxa"/>
            </w:tcMar>
          </w:tcPr>
          <w:p w14:paraId="221CDFE9" w14:textId="77777777" w:rsidR="004A7EDA" w:rsidRPr="004A7EDA" w:rsidRDefault="004A7EDA" w:rsidP="00286AE3">
            <w:pPr>
              <w:pStyle w:val="TableCopy"/>
              <w:rPr>
                <w:lang w:val="en-GB"/>
              </w:rPr>
            </w:pPr>
            <w:r w:rsidRPr="004A7EDA">
              <w:rPr>
                <w:lang w:val="en-GB"/>
              </w:rPr>
              <w:t>8.3%</w:t>
            </w:r>
          </w:p>
        </w:tc>
        <w:tc>
          <w:tcPr>
            <w:tcW w:w="1024" w:type="dxa"/>
            <w:shd w:val="clear" w:color="auto" w:fill="auto"/>
            <w:tcMar>
              <w:top w:w="113" w:type="dxa"/>
              <w:left w:w="28" w:type="dxa"/>
              <w:bottom w:w="113" w:type="dxa"/>
              <w:right w:w="28" w:type="dxa"/>
            </w:tcMar>
          </w:tcPr>
          <w:p w14:paraId="48C6BC9E" w14:textId="172C0C13" w:rsidR="004A7EDA" w:rsidRPr="004A7EDA" w:rsidRDefault="00BE1D1E" w:rsidP="00286AE3">
            <w:pPr>
              <w:pStyle w:val="TableCopy"/>
              <w:rPr>
                <w:lang w:val="en-GB"/>
              </w:rPr>
            </w:pPr>
            <w:r>
              <w:rPr>
                <w:lang w:val="en-GB"/>
              </w:rPr>
              <w:t>*</w:t>
            </w:r>
          </w:p>
        </w:tc>
      </w:tr>
      <w:tr w:rsidR="004A7EDA" w:rsidRPr="004A7EDA" w14:paraId="6AE2939E" w14:textId="77777777" w:rsidTr="0041342C">
        <w:trPr>
          <w:trHeight w:val="113"/>
        </w:trPr>
        <w:tc>
          <w:tcPr>
            <w:tcW w:w="10206" w:type="dxa"/>
            <w:gridSpan w:val="6"/>
            <w:shd w:val="clear" w:color="auto" w:fill="auto"/>
            <w:tcMar>
              <w:top w:w="113" w:type="dxa"/>
              <w:left w:w="113" w:type="dxa"/>
              <w:bottom w:w="113" w:type="dxa"/>
              <w:right w:w="113" w:type="dxa"/>
            </w:tcMar>
          </w:tcPr>
          <w:p w14:paraId="06CFBF17" w14:textId="77777777" w:rsidR="004A7EDA" w:rsidRPr="004A7EDA" w:rsidRDefault="004A7EDA" w:rsidP="00286AE3">
            <w:pPr>
              <w:pStyle w:val="TableCopy"/>
            </w:pPr>
            <w:r w:rsidRPr="004A7EDA">
              <w:lastRenderedPageBreak/>
              <w:t xml:space="preserve">Higher result due to availability of program budget. The allocated annual budget allows for twelve $10,000 scholarships to be awarded each year. Where applications are received for less than the maximum scholarship allowable, this provides the opportunity to provide additional scholarships. </w:t>
            </w:r>
          </w:p>
        </w:tc>
      </w:tr>
      <w:tr w:rsidR="004A7EDA" w:rsidRPr="00D50C66" w14:paraId="483DCD84" w14:textId="77777777" w:rsidTr="0041342C">
        <w:trPr>
          <w:trHeight w:val="113"/>
        </w:trPr>
        <w:tc>
          <w:tcPr>
            <w:tcW w:w="10206" w:type="dxa"/>
            <w:gridSpan w:val="6"/>
            <w:shd w:val="clear" w:color="auto" w:fill="auto"/>
            <w:tcMar>
              <w:top w:w="113" w:type="dxa"/>
              <w:left w:w="28" w:type="dxa"/>
              <w:bottom w:w="113" w:type="dxa"/>
              <w:right w:w="28" w:type="dxa"/>
            </w:tcMar>
          </w:tcPr>
          <w:p w14:paraId="1146126E" w14:textId="77777777" w:rsidR="004A7EDA" w:rsidRPr="00D50C66" w:rsidRDefault="004A7EDA" w:rsidP="00286AE3">
            <w:pPr>
              <w:pStyle w:val="TableCopy"/>
            </w:pPr>
            <w:r w:rsidRPr="00D50C66">
              <w:t>Quality</w:t>
            </w:r>
          </w:p>
        </w:tc>
      </w:tr>
      <w:tr w:rsidR="004A7EDA" w:rsidRPr="004A7EDA" w14:paraId="0FA2FAFD" w14:textId="77777777" w:rsidTr="00286AE3">
        <w:trPr>
          <w:trHeight w:val="113"/>
        </w:trPr>
        <w:tc>
          <w:tcPr>
            <w:tcW w:w="4743" w:type="dxa"/>
            <w:shd w:val="clear" w:color="auto" w:fill="auto"/>
            <w:tcMar>
              <w:top w:w="113" w:type="dxa"/>
              <w:left w:w="28" w:type="dxa"/>
              <w:bottom w:w="113" w:type="dxa"/>
              <w:right w:w="28" w:type="dxa"/>
            </w:tcMar>
          </w:tcPr>
          <w:p w14:paraId="06022CB4" w14:textId="77777777" w:rsidR="004A7EDA" w:rsidRPr="004A7EDA" w:rsidRDefault="004A7EDA" w:rsidP="00286AE3">
            <w:pPr>
              <w:pStyle w:val="TableCopy"/>
              <w:rPr>
                <w:lang w:val="en-GB"/>
              </w:rPr>
            </w:pPr>
            <w:r w:rsidRPr="004A7EDA">
              <w:rPr>
                <w:lang w:val="en-GB"/>
              </w:rPr>
              <w:t>Grant recipients who met or exceeded agreed milestones</w:t>
            </w:r>
          </w:p>
        </w:tc>
        <w:tc>
          <w:tcPr>
            <w:tcW w:w="1020" w:type="dxa"/>
            <w:shd w:val="clear" w:color="auto" w:fill="auto"/>
            <w:tcMar>
              <w:top w:w="113" w:type="dxa"/>
              <w:left w:w="28" w:type="dxa"/>
              <w:bottom w:w="113" w:type="dxa"/>
              <w:right w:w="28" w:type="dxa"/>
            </w:tcMar>
          </w:tcPr>
          <w:p w14:paraId="1C79B083"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03755122" w14:textId="77777777" w:rsidR="004A7EDA" w:rsidRPr="004A7EDA" w:rsidRDefault="004A7EDA" w:rsidP="00286AE3">
            <w:pPr>
              <w:pStyle w:val="TableCopy"/>
              <w:rPr>
                <w:lang w:val="en-GB"/>
              </w:rPr>
            </w:pPr>
            <w:r w:rsidRPr="004A7EDA">
              <w:rPr>
                <w:lang w:val="en-GB"/>
              </w:rPr>
              <w:t>75</w:t>
            </w:r>
          </w:p>
        </w:tc>
        <w:tc>
          <w:tcPr>
            <w:tcW w:w="1020" w:type="dxa"/>
            <w:shd w:val="clear" w:color="auto" w:fill="auto"/>
            <w:tcMar>
              <w:top w:w="113" w:type="dxa"/>
              <w:left w:w="28" w:type="dxa"/>
              <w:bottom w:w="113" w:type="dxa"/>
              <w:right w:w="28" w:type="dxa"/>
            </w:tcMar>
          </w:tcPr>
          <w:p w14:paraId="46B63A07" w14:textId="77777777" w:rsidR="004A7EDA" w:rsidRPr="004A7EDA" w:rsidRDefault="004A7EDA" w:rsidP="00286AE3">
            <w:pPr>
              <w:pStyle w:val="TableCopy"/>
              <w:rPr>
                <w:lang w:val="en-GB"/>
              </w:rPr>
            </w:pPr>
            <w:r w:rsidRPr="004A7EDA">
              <w:rPr>
                <w:lang w:val="en-GB"/>
              </w:rPr>
              <w:t>75</w:t>
            </w:r>
          </w:p>
        </w:tc>
        <w:tc>
          <w:tcPr>
            <w:tcW w:w="1380" w:type="dxa"/>
            <w:shd w:val="clear" w:color="auto" w:fill="auto"/>
            <w:tcMar>
              <w:top w:w="113" w:type="dxa"/>
              <w:left w:w="28" w:type="dxa"/>
              <w:bottom w:w="113" w:type="dxa"/>
              <w:right w:w="28" w:type="dxa"/>
            </w:tcMar>
          </w:tcPr>
          <w:p w14:paraId="57DCEC9E"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516E4D94" w14:textId="0FD7E3A9" w:rsidR="004A7EDA" w:rsidRPr="004A7EDA" w:rsidRDefault="00BE1D1E" w:rsidP="00286AE3">
            <w:pPr>
              <w:pStyle w:val="TableCopy"/>
              <w:rPr>
                <w:lang w:val="en-GB"/>
              </w:rPr>
            </w:pPr>
            <w:r>
              <w:rPr>
                <w:lang w:val="en-GB"/>
              </w:rPr>
              <w:t>*</w:t>
            </w:r>
          </w:p>
        </w:tc>
      </w:tr>
      <w:tr w:rsidR="004A7EDA" w:rsidRPr="004A7EDA" w14:paraId="20466FC7" w14:textId="77777777" w:rsidTr="0041342C">
        <w:trPr>
          <w:trHeight w:val="113"/>
        </w:trPr>
        <w:tc>
          <w:tcPr>
            <w:tcW w:w="10206" w:type="dxa"/>
            <w:gridSpan w:val="6"/>
            <w:shd w:val="clear" w:color="auto" w:fill="auto"/>
            <w:tcMar>
              <w:top w:w="113" w:type="dxa"/>
              <w:left w:w="28" w:type="dxa"/>
              <w:bottom w:w="113" w:type="dxa"/>
              <w:right w:w="28" w:type="dxa"/>
            </w:tcMar>
          </w:tcPr>
          <w:p w14:paraId="7A8375AD" w14:textId="77777777" w:rsidR="004A7EDA" w:rsidRPr="004A7EDA" w:rsidRDefault="004A7EDA" w:rsidP="00286AE3">
            <w:pPr>
              <w:pStyle w:val="TableCopy"/>
              <w:rPr>
                <w:lang w:val="en-GB"/>
              </w:rPr>
            </w:pPr>
            <w:r w:rsidRPr="004A7EDA">
              <w:rPr>
                <w:lang w:val="en-GB"/>
              </w:rPr>
              <w:t>Timeliness</w:t>
            </w:r>
          </w:p>
        </w:tc>
      </w:tr>
      <w:tr w:rsidR="004A7EDA" w:rsidRPr="004A7EDA" w14:paraId="7D54DAF9" w14:textId="77777777" w:rsidTr="00286AE3">
        <w:trPr>
          <w:trHeight w:val="113"/>
        </w:trPr>
        <w:tc>
          <w:tcPr>
            <w:tcW w:w="4743" w:type="dxa"/>
            <w:shd w:val="clear" w:color="auto" w:fill="auto"/>
            <w:tcMar>
              <w:top w:w="113" w:type="dxa"/>
              <w:left w:w="28" w:type="dxa"/>
              <w:bottom w:w="113" w:type="dxa"/>
              <w:right w:w="28" w:type="dxa"/>
            </w:tcMar>
          </w:tcPr>
          <w:p w14:paraId="493AD792" w14:textId="77777777" w:rsidR="004A7EDA" w:rsidRPr="004A7EDA" w:rsidRDefault="004A7EDA" w:rsidP="00286AE3">
            <w:pPr>
              <w:pStyle w:val="TableCopy"/>
              <w:rPr>
                <w:lang w:val="en-GB"/>
              </w:rPr>
            </w:pPr>
            <w:r w:rsidRPr="004A7EDA">
              <w:rPr>
                <w:lang w:val="en-GB"/>
              </w:rPr>
              <w:t>Performance and grant agreements acquitted within timeframes specified in the funding agreement</w:t>
            </w:r>
          </w:p>
        </w:tc>
        <w:tc>
          <w:tcPr>
            <w:tcW w:w="1020" w:type="dxa"/>
            <w:shd w:val="clear" w:color="auto" w:fill="auto"/>
            <w:tcMar>
              <w:top w:w="113" w:type="dxa"/>
              <w:left w:w="28" w:type="dxa"/>
              <w:bottom w:w="113" w:type="dxa"/>
              <w:right w:w="28" w:type="dxa"/>
            </w:tcMar>
          </w:tcPr>
          <w:p w14:paraId="716CD14E"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76A6924C" w14:textId="77777777" w:rsidR="004A7EDA" w:rsidRPr="004A7EDA" w:rsidRDefault="004A7EDA" w:rsidP="00286AE3">
            <w:pPr>
              <w:pStyle w:val="TableCopy"/>
              <w:rPr>
                <w:lang w:val="en-GB"/>
              </w:rPr>
            </w:pPr>
            <w:r w:rsidRPr="004A7EDA">
              <w:rPr>
                <w:lang w:val="en-GB"/>
              </w:rPr>
              <w:t>90</w:t>
            </w:r>
          </w:p>
        </w:tc>
        <w:tc>
          <w:tcPr>
            <w:tcW w:w="1020" w:type="dxa"/>
            <w:shd w:val="clear" w:color="auto" w:fill="auto"/>
            <w:tcMar>
              <w:top w:w="113" w:type="dxa"/>
              <w:left w:w="28" w:type="dxa"/>
              <w:bottom w:w="113" w:type="dxa"/>
              <w:right w:w="28" w:type="dxa"/>
            </w:tcMar>
          </w:tcPr>
          <w:p w14:paraId="6F475C47" w14:textId="77777777" w:rsidR="004A7EDA" w:rsidRPr="004A7EDA" w:rsidRDefault="004A7EDA" w:rsidP="00286AE3">
            <w:pPr>
              <w:pStyle w:val="TableCopy"/>
              <w:rPr>
                <w:lang w:val="en-GB"/>
              </w:rPr>
            </w:pPr>
            <w:r w:rsidRPr="004A7EDA">
              <w:rPr>
                <w:lang w:val="en-GB"/>
              </w:rPr>
              <w:t>90</w:t>
            </w:r>
          </w:p>
        </w:tc>
        <w:tc>
          <w:tcPr>
            <w:tcW w:w="1380" w:type="dxa"/>
            <w:shd w:val="clear" w:color="auto" w:fill="auto"/>
            <w:tcMar>
              <w:top w:w="113" w:type="dxa"/>
              <w:left w:w="28" w:type="dxa"/>
              <w:bottom w:w="113" w:type="dxa"/>
              <w:right w:w="28" w:type="dxa"/>
            </w:tcMar>
          </w:tcPr>
          <w:p w14:paraId="1FABF493"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22D26AB8" w14:textId="73D9603E" w:rsidR="004A7EDA" w:rsidRPr="004A7EDA" w:rsidRDefault="00BE1D1E" w:rsidP="00286AE3">
            <w:pPr>
              <w:pStyle w:val="TableCopy"/>
              <w:rPr>
                <w:lang w:val="en-GB"/>
              </w:rPr>
            </w:pPr>
            <w:r>
              <w:rPr>
                <w:lang w:val="en-GB"/>
              </w:rPr>
              <w:t>*</w:t>
            </w:r>
          </w:p>
        </w:tc>
      </w:tr>
      <w:tr w:rsidR="004A7EDA" w:rsidRPr="004A7EDA" w14:paraId="26F55E1C" w14:textId="77777777" w:rsidTr="0041342C">
        <w:trPr>
          <w:trHeight w:val="113"/>
        </w:trPr>
        <w:tc>
          <w:tcPr>
            <w:tcW w:w="10206" w:type="dxa"/>
            <w:gridSpan w:val="6"/>
            <w:shd w:val="clear" w:color="auto" w:fill="auto"/>
            <w:tcMar>
              <w:top w:w="113" w:type="dxa"/>
              <w:left w:w="28" w:type="dxa"/>
              <w:bottom w:w="113" w:type="dxa"/>
              <w:right w:w="28" w:type="dxa"/>
            </w:tcMar>
          </w:tcPr>
          <w:p w14:paraId="3B618342" w14:textId="77777777" w:rsidR="004A7EDA" w:rsidRPr="004A7EDA" w:rsidRDefault="004A7EDA" w:rsidP="00286AE3">
            <w:pPr>
              <w:pStyle w:val="TableCopy"/>
              <w:rPr>
                <w:lang w:val="en-GB"/>
              </w:rPr>
            </w:pPr>
            <w:r w:rsidRPr="004A7EDA">
              <w:rPr>
                <w:lang w:val="en-GB"/>
              </w:rPr>
              <w:t>Cost</w:t>
            </w:r>
          </w:p>
        </w:tc>
      </w:tr>
      <w:tr w:rsidR="004A7EDA" w:rsidRPr="004A7EDA" w14:paraId="7E5A23C1" w14:textId="77777777" w:rsidTr="00286AE3">
        <w:trPr>
          <w:trHeight w:val="113"/>
        </w:trPr>
        <w:tc>
          <w:tcPr>
            <w:tcW w:w="4743" w:type="dxa"/>
            <w:shd w:val="clear" w:color="auto" w:fill="auto"/>
            <w:tcMar>
              <w:top w:w="113" w:type="dxa"/>
              <w:left w:w="28" w:type="dxa"/>
              <w:bottom w:w="113" w:type="dxa"/>
              <w:right w:w="28" w:type="dxa"/>
            </w:tcMar>
          </w:tcPr>
          <w:p w14:paraId="2E281790" w14:textId="77777777" w:rsidR="004A7EDA" w:rsidRPr="004A7EDA" w:rsidRDefault="004A7EDA" w:rsidP="00286AE3">
            <w:pPr>
              <w:pStyle w:val="TableCopy"/>
              <w:rPr>
                <w:lang w:val="en-GB"/>
              </w:rPr>
            </w:pPr>
            <w:r w:rsidRPr="004A7EDA">
              <w:rPr>
                <w:lang w:val="en-GB"/>
              </w:rPr>
              <w:t>Total output cost</w:t>
            </w:r>
          </w:p>
        </w:tc>
        <w:tc>
          <w:tcPr>
            <w:tcW w:w="1020" w:type="dxa"/>
            <w:shd w:val="clear" w:color="auto" w:fill="auto"/>
            <w:tcMar>
              <w:top w:w="113" w:type="dxa"/>
              <w:left w:w="28" w:type="dxa"/>
              <w:bottom w:w="113" w:type="dxa"/>
              <w:right w:w="28" w:type="dxa"/>
            </w:tcMar>
          </w:tcPr>
          <w:p w14:paraId="531CBC6A" w14:textId="77777777" w:rsidR="004A7EDA" w:rsidRPr="004A7EDA" w:rsidRDefault="004A7EDA" w:rsidP="00286AE3">
            <w:pPr>
              <w:pStyle w:val="TableCopy"/>
              <w:rPr>
                <w:lang w:val="en-GB"/>
              </w:rPr>
            </w:pPr>
            <w:r w:rsidRPr="004A7EDA">
              <w:rPr>
                <w:lang w:val="en-GB"/>
              </w:rPr>
              <w:t>$ million</w:t>
            </w:r>
          </w:p>
        </w:tc>
        <w:tc>
          <w:tcPr>
            <w:tcW w:w="1019" w:type="dxa"/>
            <w:shd w:val="clear" w:color="auto" w:fill="auto"/>
            <w:tcMar>
              <w:top w:w="113" w:type="dxa"/>
              <w:left w:w="28" w:type="dxa"/>
              <w:bottom w:w="113" w:type="dxa"/>
              <w:right w:w="28" w:type="dxa"/>
            </w:tcMar>
          </w:tcPr>
          <w:p w14:paraId="107504D4" w14:textId="77777777" w:rsidR="004A7EDA" w:rsidRPr="004A7EDA" w:rsidRDefault="004A7EDA" w:rsidP="00286AE3">
            <w:pPr>
              <w:pStyle w:val="TableCopy"/>
              <w:rPr>
                <w:lang w:val="en-GB"/>
              </w:rPr>
            </w:pPr>
            <w:r w:rsidRPr="004A7EDA">
              <w:rPr>
                <w:lang w:val="en-GB"/>
              </w:rPr>
              <w:t>211.2</w:t>
            </w:r>
          </w:p>
        </w:tc>
        <w:tc>
          <w:tcPr>
            <w:tcW w:w="1020" w:type="dxa"/>
            <w:shd w:val="clear" w:color="auto" w:fill="auto"/>
            <w:tcMar>
              <w:top w:w="113" w:type="dxa"/>
              <w:left w:w="28" w:type="dxa"/>
              <w:bottom w:w="113" w:type="dxa"/>
              <w:right w:w="28" w:type="dxa"/>
            </w:tcMar>
          </w:tcPr>
          <w:p w14:paraId="7446F614" w14:textId="77777777" w:rsidR="004A7EDA" w:rsidRPr="004A7EDA" w:rsidRDefault="004A7EDA" w:rsidP="00286AE3">
            <w:pPr>
              <w:pStyle w:val="TableCopy"/>
              <w:rPr>
                <w:lang w:val="en-GB"/>
              </w:rPr>
            </w:pPr>
            <w:r w:rsidRPr="004A7EDA">
              <w:rPr>
                <w:lang w:val="en-GB"/>
              </w:rPr>
              <w:t>224.9</w:t>
            </w:r>
          </w:p>
        </w:tc>
        <w:tc>
          <w:tcPr>
            <w:tcW w:w="1380" w:type="dxa"/>
            <w:shd w:val="clear" w:color="auto" w:fill="auto"/>
            <w:tcMar>
              <w:top w:w="113" w:type="dxa"/>
              <w:left w:w="28" w:type="dxa"/>
              <w:bottom w:w="113" w:type="dxa"/>
              <w:right w:w="28" w:type="dxa"/>
            </w:tcMar>
          </w:tcPr>
          <w:p w14:paraId="615B5EE4" w14:textId="77777777" w:rsidR="004A7EDA" w:rsidRPr="004A7EDA" w:rsidRDefault="004A7EDA" w:rsidP="00286AE3">
            <w:pPr>
              <w:pStyle w:val="TableCopy"/>
              <w:rPr>
                <w:lang w:val="en-GB"/>
              </w:rPr>
            </w:pPr>
            <w:r w:rsidRPr="004A7EDA">
              <w:rPr>
                <w:lang w:val="en-GB"/>
              </w:rPr>
              <w:t>-6.1%</w:t>
            </w:r>
          </w:p>
        </w:tc>
        <w:tc>
          <w:tcPr>
            <w:tcW w:w="1024" w:type="dxa"/>
            <w:shd w:val="clear" w:color="auto" w:fill="auto"/>
            <w:tcMar>
              <w:top w:w="113" w:type="dxa"/>
              <w:left w:w="28" w:type="dxa"/>
              <w:bottom w:w="113" w:type="dxa"/>
              <w:right w:w="28" w:type="dxa"/>
            </w:tcMar>
          </w:tcPr>
          <w:p w14:paraId="095433F6" w14:textId="3C9EEEE4" w:rsidR="004A7EDA" w:rsidRPr="004A7EDA" w:rsidRDefault="00BE1D1E" w:rsidP="00286AE3">
            <w:pPr>
              <w:pStyle w:val="TableCopy"/>
              <w:rPr>
                <w:lang w:val="en-GB"/>
              </w:rPr>
            </w:pPr>
            <w:r>
              <w:rPr>
                <w:lang w:val="en-GB"/>
              </w:rPr>
              <w:t>*</w:t>
            </w:r>
          </w:p>
        </w:tc>
      </w:tr>
      <w:tr w:rsidR="004A7EDA" w:rsidRPr="004A7EDA" w14:paraId="0E0F8229" w14:textId="77777777" w:rsidTr="0041342C">
        <w:trPr>
          <w:trHeight w:val="113"/>
        </w:trPr>
        <w:tc>
          <w:tcPr>
            <w:tcW w:w="10206" w:type="dxa"/>
            <w:gridSpan w:val="6"/>
            <w:shd w:val="clear" w:color="auto" w:fill="auto"/>
            <w:tcMar>
              <w:top w:w="113" w:type="dxa"/>
              <w:left w:w="113" w:type="dxa"/>
              <w:bottom w:w="113" w:type="dxa"/>
              <w:right w:w="113" w:type="dxa"/>
            </w:tcMar>
          </w:tcPr>
          <w:p w14:paraId="631A9693" w14:textId="77777777" w:rsidR="004A7EDA" w:rsidRPr="004A7EDA" w:rsidRDefault="004A7EDA" w:rsidP="00286AE3">
            <w:pPr>
              <w:pStyle w:val="TableCopy"/>
            </w:pPr>
            <w:r w:rsidRPr="004A7EDA">
              <w:t>The 2020–21 result was lower than the 2020–21 budget primarily due to the accounting treatment associated with the Royal Melbourne Showgrounds Redevelopment expenditure.</w:t>
            </w:r>
          </w:p>
        </w:tc>
      </w:tr>
      <w:tr w:rsidR="004A7EDA" w:rsidRPr="004A7EDA" w14:paraId="3AA5DB9A" w14:textId="77777777" w:rsidTr="0041342C">
        <w:trPr>
          <w:trHeight w:val="113"/>
        </w:trPr>
        <w:tc>
          <w:tcPr>
            <w:tcW w:w="10206" w:type="dxa"/>
            <w:gridSpan w:val="6"/>
            <w:shd w:val="clear" w:color="auto" w:fill="auto"/>
            <w:tcMar>
              <w:top w:w="113" w:type="dxa"/>
              <w:left w:w="28" w:type="dxa"/>
              <w:bottom w:w="113" w:type="dxa"/>
              <w:right w:w="28" w:type="dxa"/>
            </w:tcMar>
          </w:tcPr>
          <w:p w14:paraId="040122EF" w14:textId="77777777" w:rsidR="004A7EDA" w:rsidRPr="004A7EDA" w:rsidRDefault="004A7EDA" w:rsidP="00286AE3">
            <w:pPr>
              <w:pStyle w:val="TableCopy"/>
              <w:rPr>
                <w:lang w:val="en-GB"/>
              </w:rPr>
            </w:pPr>
            <w:r w:rsidRPr="004A7EDA">
              <w:rPr>
                <w:lang w:val="en-GB"/>
              </w:rPr>
              <w:t>Agriculture Research</w:t>
            </w:r>
          </w:p>
        </w:tc>
      </w:tr>
      <w:tr w:rsidR="004A7EDA" w:rsidRPr="004A7EDA" w14:paraId="31BB0C45" w14:textId="77777777" w:rsidTr="0041342C">
        <w:trPr>
          <w:trHeight w:val="113"/>
        </w:trPr>
        <w:tc>
          <w:tcPr>
            <w:tcW w:w="10206" w:type="dxa"/>
            <w:gridSpan w:val="6"/>
            <w:shd w:val="clear" w:color="auto" w:fill="auto"/>
            <w:tcMar>
              <w:top w:w="113" w:type="dxa"/>
              <w:left w:w="28" w:type="dxa"/>
              <w:bottom w:w="113" w:type="dxa"/>
              <w:right w:w="28" w:type="dxa"/>
            </w:tcMar>
          </w:tcPr>
          <w:p w14:paraId="07E6864E" w14:textId="77777777" w:rsidR="004A7EDA" w:rsidRPr="004A7EDA" w:rsidRDefault="004A7EDA" w:rsidP="00286AE3">
            <w:pPr>
              <w:pStyle w:val="TableCopy"/>
            </w:pPr>
            <w:r w:rsidRPr="004A7EDA">
              <w:t xml:space="preserve">This sub-output supports more productive, competitive, </w:t>
            </w:r>
            <w:proofErr w:type="gramStart"/>
            <w:r w:rsidRPr="004A7EDA">
              <w:t>sustainable</w:t>
            </w:r>
            <w:proofErr w:type="gramEnd"/>
            <w:r w:rsidRPr="004A7EDA">
              <w:t xml:space="preserve"> and jobs-rich food and </w:t>
            </w:r>
            <w:proofErr w:type="spellStart"/>
            <w:r w:rsidRPr="004A7EDA">
              <w:t>fibre</w:t>
            </w:r>
            <w:proofErr w:type="spellEnd"/>
            <w:r w:rsidRPr="004A7EDA">
              <w:t xml:space="preserve"> sectors by delivering research and innovation to develop innovative new technologies and farming systems that increase food and </w:t>
            </w:r>
            <w:proofErr w:type="spellStart"/>
            <w:r w:rsidRPr="004A7EDA">
              <w:t>fibre</w:t>
            </w:r>
            <w:proofErr w:type="spellEnd"/>
            <w:r w:rsidRPr="004A7EDA">
              <w:t xml:space="preserve"> productivity and product quality.</w:t>
            </w:r>
          </w:p>
        </w:tc>
      </w:tr>
      <w:tr w:rsidR="004A7EDA" w:rsidRPr="004A7EDA" w14:paraId="77B17D46" w14:textId="77777777" w:rsidTr="0041342C">
        <w:trPr>
          <w:trHeight w:val="113"/>
        </w:trPr>
        <w:tc>
          <w:tcPr>
            <w:tcW w:w="10206" w:type="dxa"/>
            <w:gridSpan w:val="6"/>
            <w:shd w:val="clear" w:color="auto" w:fill="auto"/>
            <w:tcMar>
              <w:top w:w="113" w:type="dxa"/>
              <w:left w:w="28" w:type="dxa"/>
              <w:bottom w:w="113" w:type="dxa"/>
              <w:right w:w="28" w:type="dxa"/>
            </w:tcMar>
          </w:tcPr>
          <w:p w14:paraId="6FD273CD" w14:textId="77777777" w:rsidR="004A7EDA" w:rsidRPr="004A7EDA" w:rsidRDefault="004A7EDA" w:rsidP="00286AE3">
            <w:pPr>
              <w:pStyle w:val="TableCopy"/>
              <w:rPr>
                <w:lang w:val="en-GB"/>
              </w:rPr>
            </w:pPr>
            <w:r w:rsidRPr="004A7EDA">
              <w:rPr>
                <w:lang w:val="en-GB"/>
              </w:rPr>
              <w:t>Quantity</w:t>
            </w:r>
          </w:p>
        </w:tc>
      </w:tr>
      <w:tr w:rsidR="004A7EDA" w:rsidRPr="004A7EDA" w14:paraId="658C467C" w14:textId="77777777" w:rsidTr="00286AE3">
        <w:trPr>
          <w:trHeight w:val="113"/>
        </w:trPr>
        <w:tc>
          <w:tcPr>
            <w:tcW w:w="4743" w:type="dxa"/>
            <w:shd w:val="clear" w:color="auto" w:fill="auto"/>
            <w:tcMar>
              <w:top w:w="113" w:type="dxa"/>
              <w:left w:w="28" w:type="dxa"/>
              <w:bottom w:w="113" w:type="dxa"/>
              <w:right w:w="28" w:type="dxa"/>
            </w:tcMar>
          </w:tcPr>
          <w:p w14:paraId="6F1FE5BB" w14:textId="77777777" w:rsidR="004A7EDA" w:rsidRPr="004A7EDA" w:rsidRDefault="004A7EDA" w:rsidP="00286AE3">
            <w:pPr>
              <w:pStyle w:val="TableCopy"/>
              <w:rPr>
                <w:lang w:val="en-GB"/>
              </w:rPr>
            </w:pPr>
            <w:r w:rsidRPr="004A7EDA">
              <w:rPr>
                <w:lang w:val="en-GB"/>
              </w:rPr>
              <w:t>Applications for intellectual property protection</w:t>
            </w:r>
          </w:p>
        </w:tc>
        <w:tc>
          <w:tcPr>
            <w:tcW w:w="1020" w:type="dxa"/>
            <w:shd w:val="clear" w:color="auto" w:fill="auto"/>
            <w:tcMar>
              <w:top w:w="113" w:type="dxa"/>
              <w:left w:w="28" w:type="dxa"/>
              <w:bottom w:w="113" w:type="dxa"/>
              <w:right w:w="28" w:type="dxa"/>
            </w:tcMar>
          </w:tcPr>
          <w:p w14:paraId="35BD2827"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34BA2554" w14:textId="77777777" w:rsidR="004A7EDA" w:rsidRPr="004A7EDA" w:rsidRDefault="004A7EDA" w:rsidP="00286AE3">
            <w:pPr>
              <w:pStyle w:val="TableCopy"/>
              <w:rPr>
                <w:lang w:val="en-GB"/>
              </w:rPr>
            </w:pPr>
            <w:r w:rsidRPr="004A7EDA">
              <w:rPr>
                <w:lang w:val="en-GB"/>
              </w:rPr>
              <w:t>17</w:t>
            </w:r>
          </w:p>
        </w:tc>
        <w:tc>
          <w:tcPr>
            <w:tcW w:w="1020" w:type="dxa"/>
            <w:shd w:val="clear" w:color="auto" w:fill="auto"/>
            <w:tcMar>
              <w:top w:w="113" w:type="dxa"/>
              <w:left w:w="28" w:type="dxa"/>
              <w:bottom w:w="113" w:type="dxa"/>
              <w:right w:w="28" w:type="dxa"/>
            </w:tcMar>
          </w:tcPr>
          <w:p w14:paraId="6436D417" w14:textId="77777777" w:rsidR="004A7EDA" w:rsidRPr="004A7EDA" w:rsidRDefault="004A7EDA" w:rsidP="00286AE3">
            <w:pPr>
              <w:pStyle w:val="TableCopy"/>
              <w:rPr>
                <w:lang w:val="en-GB"/>
              </w:rPr>
            </w:pPr>
            <w:r w:rsidRPr="004A7EDA">
              <w:rPr>
                <w:lang w:val="en-GB"/>
              </w:rPr>
              <w:t>16</w:t>
            </w:r>
          </w:p>
        </w:tc>
        <w:tc>
          <w:tcPr>
            <w:tcW w:w="1380" w:type="dxa"/>
            <w:shd w:val="clear" w:color="auto" w:fill="auto"/>
            <w:tcMar>
              <w:top w:w="113" w:type="dxa"/>
              <w:left w:w="28" w:type="dxa"/>
              <w:bottom w:w="113" w:type="dxa"/>
              <w:right w:w="28" w:type="dxa"/>
            </w:tcMar>
          </w:tcPr>
          <w:p w14:paraId="2673689F" w14:textId="77777777" w:rsidR="004A7EDA" w:rsidRPr="004A7EDA" w:rsidRDefault="004A7EDA" w:rsidP="00286AE3">
            <w:pPr>
              <w:pStyle w:val="TableCopy"/>
              <w:rPr>
                <w:lang w:val="en-GB"/>
              </w:rPr>
            </w:pPr>
            <w:r w:rsidRPr="004A7EDA">
              <w:rPr>
                <w:lang w:val="en-GB"/>
              </w:rPr>
              <w:t>6.3%</w:t>
            </w:r>
          </w:p>
        </w:tc>
        <w:tc>
          <w:tcPr>
            <w:tcW w:w="1024" w:type="dxa"/>
            <w:shd w:val="clear" w:color="auto" w:fill="auto"/>
            <w:tcMar>
              <w:top w:w="113" w:type="dxa"/>
              <w:left w:w="28" w:type="dxa"/>
              <w:bottom w:w="113" w:type="dxa"/>
              <w:right w:w="28" w:type="dxa"/>
            </w:tcMar>
          </w:tcPr>
          <w:p w14:paraId="348175AD" w14:textId="565DFDF2" w:rsidR="004A7EDA" w:rsidRPr="004A7EDA" w:rsidRDefault="00BE1D1E" w:rsidP="00286AE3">
            <w:pPr>
              <w:pStyle w:val="TableCopy"/>
              <w:rPr>
                <w:lang w:val="en-GB"/>
              </w:rPr>
            </w:pPr>
            <w:r>
              <w:rPr>
                <w:lang w:val="en-GB"/>
              </w:rPr>
              <w:t>*</w:t>
            </w:r>
          </w:p>
        </w:tc>
      </w:tr>
      <w:tr w:rsidR="004A7EDA" w:rsidRPr="004A7EDA" w14:paraId="29CF27D0" w14:textId="77777777" w:rsidTr="0041342C">
        <w:trPr>
          <w:trHeight w:val="113"/>
        </w:trPr>
        <w:tc>
          <w:tcPr>
            <w:tcW w:w="10206" w:type="dxa"/>
            <w:gridSpan w:val="6"/>
            <w:shd w:val="clear" w:color="auto" w:fill="auto"/>
            <w:tcMar>
              <w:top w:w="113" w:type="dxa"/>
              <w:left w:w="113" w:type="dxa"/>
              <w:bottom w:w="113" w:type="dxa"/>
              <w:right w:w="113" w:type="dxa"/>
            </w:tcMar>
          </w:tcPr>
          <w:p w14:paraId="5178FEAE" w14:textId="263BE0FB" w:rsidR="004A7EDA" w:rsidRPr="004A7EDA" w:rsidRDefault="004A7EDA" w:rsidP="00286AE3">
            <w:pPr>
              <w:pStyle w:val="TableCopy"/>
            </w:pPr>
            <w:r w:rsidRPr="004A7EDA">
              <w:t>Higher result due to an increase in the number of new trademarks filed that provide key branding for previously registered</w:t>
            </w:r>
            <w:r w:rsidR="0041342C">
              <w:t xml:space="preserve"> </w:t>
            </w:r>
            <w:r w:rsidRPr="004A7EDA">
              <w:t>intellectual property.</w:t>
            </w:r>
          </w:p>
        </w:tc>
      </w:tr>
      <w:tr w:rsidR="004A7EDA" w:rsidRPr="004A7EDA" w14:paraId="59010E01" w14:textId="77777777" w:rsidTr="00286AE3">
        <w:trPr>
          <w:trHeight w:val="113"/>
        </w:trPr>
        <w:tc>
          <w:tcPr>
            <w:tcW w:w="4743" w:type="dxa"/>
            <w:shd w:val="clear" w:color="auto" w:fill="auto"/>
            <w:tcMar>
              <w:top w:w="113" w:type="dxa"/>
              <w:left w:w="28" w:type="dxa"/>
              <w:bottom w:w="113" w:type="dxa"/>
              <w:right w:w="28" w:type="dxa"/>
            </w:tcMar>
          </w:tcPr>
          <w:p w14:paraId="0B371ECC" w14:textId="77777777" w:rsidR="004A7EDA" w:rsidRPr="004A7EDA" w:rsidRDefault="004A7EDA" w:rsidP="00286AE3">
            <w:pPr>
              <w:pStyle w:val="TableCopy"/>
              <w:rPr>
                <w:lang w:val="en-GB"/>
              </w:rPr>
            </w:pPr>
            <w:r w:rsidRPr="004A7EDA">
              <w:rPr>
                <w:lang w:val="en-GB"/>
              </w:rPr>
              <w:t>Commercial technology licence agreements finalised</w:t>
            </w:r>
          </w:p>
        </w:tc>
        <w:tc>
          <w:tcPr>
            <w:tcW w:w="1020" w:type="dxa"/>
            <w:shd w:val="clear" w:color="auto" w:fill="auto"/>
            <w:tcMar>
              <w:top w:w="113" w:type="dxa"/>
              <w:left w:w="28" w:type="dxa"/>
              <w:bottom w:w="113" w:type="dxa"/>
              <w:right w:w="28" w:type="dxa"/>
            </w:tcMar>
          </w:tcPr>
          <w:p w14:paraId="5CA52F7B"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481B6470" w14:textId="77777777" w:rsidR="004A7EDA" w:rsidRPr="004A7EDA" w:rsidRDefault="004A7EDA" w:rsidP="00286AE3">
            <w:pPr>
              <w:pStyle w:val="TableCopy"/>
              <w:rPr>
                <w:lang w:val="en-GB"/>
              </w:rPr>
            </w:pPr>
            <w:r w:rsidRPr="004A7EDA">
              <w:rPr>
                <w:lang w:val="en-GB"/>
              </w:rPr>
              <w:t>16</w:t>
            </w:r>
          </w:p>
        </w:tc>
        <w:tc>
          <w:tcPr>
            <w:tcW w:w="1020" w:type="dxa"/>
            <w:shd w:val="clear" w:color="auto" w:fill="auto"/>
            <w:tcMar>
              <w:top w:w="113" w:type="dxa"/>
              <w:left w:w="28" w:type="dxa"/>
              <w:bottom w:w="113" w:type="dxa"/>
              <w:right w:w="28" w:type="dxa"/>
            </w:tcMar>
          </w:tcPr>
          <w:p w14:paraId="5DE905F6" w14:textId="77777777" w:rsidR="004A7EDA" w:rsidRPr="004A7EDA" w:rsidRDefault="004A7EDA" w:rsidP="00286AE3">
            <w:pPr>
              <w:pStyle w:val="TableCopy"/>
              <w:rPr>
                <w:lang w:val="en-GB"/>
              </w:rPr>
            </w:pPr>
            <w:r w:rsidRPr="004A7EDA">
              <w:rPr>
                <w:lang w:val="en-GB"/>
              </w:rPr>
              <w:t>16</w:t>
            </w:r>
          </w:p>
        </w:tc>
        <w:tc>
          <w:tcPr>
            <w:tcW w:w="1380" w:type="dxa"/>
            <w:shd w:val="clear" w:color="auto" w:fill="auto"/>
            <w:tcMar>
              <w:top w:w="113" w:type="dxa"/>
              <w:left w:w="28" w:type="dxa"/>
              <w:bottom w:w="113" w:type="dxa"/>
              <w:right w:w="28" w:type="dxa"/>
            </w:tcMar>
          </w:tcPr>
          <w:p w14:paraId="4F969013"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5E21FD58" w14:textId="69F86D02" w:rsidR="004A7EDA" w:rsidRPr="004A7EDA" w:rsidRDefault="00BE1D1E" w:rsidP="00286AE3">
            <w:pPr>
              <w:pStyle w:val="TableCopy"/>
              <w:rPr>
                <w:lang w:val="en-GB"/>
              </w:rPr>
            </w:pPr>
            <w:r>
              <w:rPr>
                <w:lang w:val="en-GB"/>
              </w:rPr>
              <w:t>*</w:t>
            </w:r>
          </w:p>
        </w:tc>
      </w:tr>
      <w:tr w:rsidR="004A7EDA" w:rsidRPr="004A7EDA" w14:paraId="72F87CAC" w14:textId="77777777" w:rsidTr="00286AE3">
        <w:trPr>
          <w:trHeight w:val="113"/>
        </w:trPr>
        <w:tc>
          <w:tcPr>
            <w:tcW w:w="4743" w:type="dxa"/>
            <w:shd w:val="clear" w:color="auto" w:fill="auto"/>
            <w:tcMar>
              <w:top w:w="113" w:type="dxa"/>
              <w:left w:w="28" w:type="dxa"/>
              <w:bottom w:w="113" w:type="dxa"/>
              <w:right w:w="28" w:type="dxa"/>
            </w:tcMar>
          </w:tcPr>
          <w:p w14:paraId="188331EE" w14:textId="77777777" w:rsidR="004A7EDA" w:rsidRPr="004A7EDA" w:rsidRDefault="004A7EDA" w:rsidP="00286AE3">
            <w:pPr>
              <w:pStyle w:val="TableCopy"/>
              <w:rPr>
                <w:lang w:val="en-GB"/>
              </w:rPr>
            </w:pPr>
            <w:r w:rsidRPr="004A7EDA">
              <w:rPr>
                <w:lang w:val="en-GB"/>
              </w:rPr>
              <w:t>Genetic improvement of dairy cows achieved through breeding contributing to increased milk production</w:t>
            </w:r>
            <w:r w:rsidRPr="004A7EDA">
              <w:rPr>
                <w:lang w:val="en-GB"/>
              </w:rPr>
              <w:br/>
              <w:t>and dairy productivity</w:t>
            </w:r>
          </w:p>
        </w:tc>
        <w:tc>
          <w:tcPr>
            <w:tcW w:w="1020" w:type="dxa"/>
            <w:shd w:val="clear" w:color="auto" w:fill="auto"/>
            <w:tcMar>
              <w:top w:w="113" w:type="dxa"/>
              <w:left w:w="28" w:type="dxa"/>
              <w:bottom w:w="113" w:type="dxa"/>
              <w:right w:w="28" w:type="dxa"/>
            </w:tcMar>
          </w:tcPr>
          <w:p w14:paraId="7C1F2AB5"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52B66B3F" w14:textId="77777777" w:rsidR="004A7EDA" w:rsidRPr="004A7EDA" w:rsidRDefault="004A7EDA" w:rsidP="00286AE3">
            <w:pPr>
              <w:pStyle w:val="TableCopy"/>
              <w:rPr>
                <w:lang w:val="en-GB"/>
              </w:rPr>
            </w:pPr>
            <w:r w:rsidRPr="004A7EDA">
              <w:rPr>
                <w:lang w:val="en-GB"/>
              </w:rPr>
              <w:t>1</w:t>
            </w:r>
          </w:p>
        </w:tc>
        <w:tc>
          <w:tcPr>
            <w:tcW w:w="1020" w:type="dxa"/>
            <w:shd w:val="clear" w:color="auto" w:fill="auto"/>
            <w:tcMar>
              <w:top w:w="113" w:type="dxa"/>
              <w:left w:w="28" w:type="dxa"/>
              <w:bottom w:w="113" w:type="dxa"/>
              <w:right w:w="28" w:type="dxa"/>
            </w:tcMar>
          </w:tcPr>
          <w:p w14:paraId="3B3D35B7" w14:textId="77777777" w:rsidR="004A7EDA" w:rsidRPr="004A7EDA" w:rsidRDefault="004A7EDA" w:rsidP="00286AE3">
            <w:pPr>
              <w:pStyle w:val="TableCopy"/>
              <w:rPr>
                <w:lang w:val="en-GB"/>
              </w:rPr>
            </w:pPr>
            <w:r w:rsidRPr="004A7EDA">
              <w:rPr>
                <w:lang w:val="en-GB"/>
              </w:rPr>
              <w:t>1</w:t>
            </w:r>
          </w:p>
        </w:tc>
        <w:tc>
          <w:tcPr>
            <w:tcW w:w="1380" w:type="dxa"/>
            <w:shd w:val="clear" w:color="auto" w:fill="auto"/>
            <w:tcMar>
              <w:top w:w="113" w:type="dxa"/>
              <w:left w:w="28" w:type="dxa"/>
              <w:bottom w:w="113" w:type="dxa"/>
              <w:right w:w="28" w:type="dxa"/>
            </w:tcMar>
          </w:tcPr>
          <w:p w14:paraId="3642818D"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3070D06C" w14:textId="597877A0" w:rsidR="004A7EDA" w:rsidRPr="004A7EDA" w:rsidRDefault="00BE1D1E" w:rsidP="00286AE3">
            <w:pPr>
              <w:pStyle w:val="TableCopy"/>
              <w:rPr>
                <w:lang w:val="en-GB"/>
              </w:rPr>
            </w:pPr>
            <w:r>
              <w:rPr>
                <w:lang w:val="en-GB"/>
              </w:rPr>
              <w:t>*</w:t>
            </w:r>
          </w:p>
        </w:tc>
      </w:tr>
      <w:tr w:rsidR="004A7EDA" w:rsidRPr="004A7EDA" w14:paraId="3121E450" w14:textId="77777777" w:rsidTr="00286AE3">
        <w:trPr>
          <w:trHeight w:val="113"/>
        </w:trPr>
        <w:tc>
          <w:tcPr>
            <w:tcW w:w="4743" w:type="dxa"/>
            <w:shd w:val="clear" w:color="auto" w:fill="auto"/>
            <w:tcMar>
              <w:top w:w="113" w:type="dxa"/>
              <w:left w:w="28" w:type="dxa"/>
              <w:bottom w:w="113" w:type="dxa"/>
              <w:right w:w="28" w:type="dxa"/>
            </w:tcMar>
          </w:tcPr>
          <w:p w14:paraId="41D3D097" w14:textId="77777777" w:rsidR="004A7EDA" w:rsidRPr="004A7EDA" w:rsidRDefault="004A7EDA" w:rsidP="00286AE3">
            <w:pPr>
              <w:pStyle w:val="TableCopy"/>
              <w:rPr>
                <w:lang w:val="en-GB"/>
              </w:rPr>
            </w:pPr>
            <w:r w:rsidRPr="004A7EDA">
              <w:rPr>
                <w:lang w:val="en-GB"/>
              </w:rPr>
              <w:t>Key bioscience platform technologies established</w:t>
            </w:r>
          </w:p>
        </w:tc>
        <w:tc>
          <w:tcPr>
            <w:tcW w:w="1020" w:type="dxa"/>
            <w:shd w:val="clear" w:color="auto" w:fill="auto"/>
            <w:tcMar>
              <w:top w:w="113" w:type="dxa"/>
              <w:left w:w="28" w:type="dxa"/>
              <w:bottom w:w="113" w:type="dxa"/>
              <w:right w:w="28" w:type="dxa"/>
            </w:tcMar>
          </w:tcPr>
          <w:p w14:paraId="75F5FF4D"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795033FE" w14:textId="77777777" w:rsidR="004A7EDA" w:rsidRPr="004A7EDA" w:rsidRDefault="004A7EDA" w:rsidP="00286AE3">
            <w:pPr>
              <w:pStyle w:val="TableCopy"/>
              <w:rPr>
                <w:lang w:val="en-GB"/>
              </w:rPr>
            </w:pPr>
            <w:r w:rsidRPr="004A7EDA">
              <w:rPr>
                <w:lang w:val="en-GB"/>
              </w:rPr>
              <w:t>1</w:t>
            </w:r>
          </w:p>
        </w:tc>
        <w:tc>
          <w:tcPr>
            <w:tcW w:w="1020" w:type="dxa"/>
            <w:shd w:val="clear" w:color="auto" w:fill="auto"/>
            <w:tcMar>
              <w:top w:w="113" w:type="dxa"/>
              <w:left w:w="28" w:type="dxa"/>
              <w:bottom w:w="113" w:type="dxa"/>
              <w:right w:w="28" w:type="dxa"/>
            </w:tcMar>
          </w:tcPr>
          <w:p w14:paraId="14E77D67" w14:textId="77777777" w:rsidR="004A7EDA" w:rsidRPr="004A7EDA" w:rsidRDefault="004A7EDA" w:rsidP="00286AE3">
            <w:pPr>
              <w:pStyle w:val="TableCopy"/>
              <w:rPr>
                <w:lang w:val="en-GB"/>
              </w:rPr>
            </w:pPr>
            <w:r w:rsidRPr="004A7EDA">
              <w:rPr>
                <w:lang w:val="en-GB"/>
              </w:rPr>
              <w:t>1</w:t>
            </w:r>
          </w:p>
        </w:tc>
        <w:tc>
          <w:tcPr>
            <w:tcW w:w="1380" w:type="dxa"/>
            <w:shd w:val="clear" w:color="auto" w:fill="auto"/>
            <w:tcMar>
              <w:top w:w="113" w:type="dxa"/>
              <w:left w:w="28" w:type="dxa"/>
              <w:bottom w:w="113" w:type="dxa"/>
              <w:right w:w="28" w:type="dxa"/>
            </w:tcMar>
          </w:tcPr>
          <w:p w14:paraId="0FC2A213"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38D07B95" w14:textId="70E285F0" w:rsidR="004A7EDA" w:rsidRPr="004A7EDA" w:rsidRDefault="00BE1D1E" w:rsidP="00286AE3">
            <w:pPr>
              <w:pStyle w:val="TableCopy"/>
              <w:rPr>
                <w:lang w:val="en-GB"/>
              </w:rPr>
            </w:pPr>
            <w:r>
              <w:rPr>
                <w:lang w:val="en-GB"/>
              </w:rPr>
              <w:t>*</w:t>
            </w:r>
          </w:p>
        </w:tc>
      </w:tr>
      <w:tr w:rsidR="004A7EDA" w:rsidRPr="004A7EDA" w14:paraId="4B88DF95" w14:textId="77777777" w:rsidTr="00286AE3">
        <w:trPr>
          <w:trHeight w:val="113"/>
        </w:trPr>
        <w:tc>
          <w:tcPr>
            <w:tcW w:w="4743" w:type="dxa"/>
            <w:shd w:val="clear" w:color="auto" w:fill="auto"/>
            <w:tcMar>
              <w:top w:w="113" w:type="dxa"/>
              <w:left w:w="28" w:type="dxa"/>
              <w:bottom w:w="113" w:type="dxa"/>
              <w:right w:w="28" w:type="dxa"/>
            </w:tcMar>
          </w:tcPr>
          <w:p w14:paraId="7C409B17" w14:textId="77777777" w:rsidR="004A7EDA" w:rsidRPr="004A7EDA" w:rsidRDefault="004A7EDA" w:rsidP="00286AE3">
            <w:pPr>
              <w:pStyle w:val="TableCopy"/>
              <w:rPr>
                <w:lang w:val="en-GB"/>
              </w:rPr>
            </w:pPr>
            <w:proofErr w:type="gramStart"/>
            <w:r w:rsidRPr="004A7EDA">
              <w:rPr>
                <w:lang w:val="en-GB"/>
              </w:rPr>
              <w:t>Postgraduate-level</w:t>
            </w:r>
            <w:proofErr w:type="gramEnd"/>
            <w:r w:rsidRPr="004A7EDA">
              <w:rPr>
                <w:lang w:val="en-GB"/>
              </w:rPr>
              <w:t>/PhD students in training</w:t>
            </w:r>
          </w:p>
        </w:tc>
        <w:tc>
          <w:tcPr>
            <w:tcW w:w="1020" w:type="dxa"/>
            <w:shd w:val="clear" w:color="auto" w:fill="auto"/>
            <w:tcMar>
              <w:top w:w="113" w:type="dxa"/>
              <w:left w:w="28" w:type="dxa"/>
              <w:bottom w:w="113" w:type="dxa"/>
              <w:right w:w="28" w:type="dxa"/>
            </w:tcMar>
          </w:tcPr>
          <w:p w14:paraId="558AACE0"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44170064" w14:textId="77777777" w:rsidR="004A7EDA" w:rsidRPr="004A7EDA" w:rsidRDefault="004A7EDA" w:rsidP="00286AE3">
            <w:pPr>
              <w:pStyle w:val="TableCopy"/>
              <w:rPr>
                <w:lang w:val="en-GB"/>
              </w:rPr>
            </w:pPr>
            <w:r w:rsidRPr="004A7EDA">
              <w:rPr>
                <w:lang w:val="en-GB"/>
              </w:rPr>
              <w:t>68</w:t>
            </w:r>
          </w:p>
        </w:tc>
        <w:tc>
          <w:tcPr>
            <w:tcW w:w="1020" w:type="dxa"/>
            <w:shd w:val="clear" w:color="auto" w:fill="auto"/>
            <w:tcMar>
              <w:top w:w="113" w:type="dxa"/>
              <w:left w:w="28" w:type="dxa"/>
              <w:bottom w:w="113" w:type="dxa"/>
              <w:right w:w="28" w:type="dxa"/>
            </w:tcMar>
          </w:tcPr>
          <w:p w14:paraId="4176CF33" w14:textId="77777777" w:rsidR="004A7EDA" w:rsidRPr="004A7EDA" w:rsidRDefault="004A7EDA" w:rsidP="00286AE3">
            <w:pPr>
              <w:pStyle w:val="TableCopy"/>
              <w:rPr>
                <w:lang w:val="en-GB"/>
              </w:rPr>
            </w:pPr>
            <w:r w:rsidRPr="004A7EDA">
              <w:rPr>
                <w:lang w:val="en-GB"/>
              </w:rPr>
              <w:t>65</w:t>
            </w:r>
          </w:p>
        </w:tc>
        <w:tc>
          <w:tcPr>
            <w:tcW w:w="1380" w:type="dxa"/>
            <w:shd w:val="clear" w:color="auto" w:fill="auto"/>
            <w:tcMar>
              <w:top w:w="113" w:type="dxa"/>
              <w:left w:w="28" w:type="dxa"/>
              <w:bottom w:w="113" w:type="dxa"/>
              <w:right w:w="28" w:type="dxa"/>
            </w:tcMar>
          </w:tcPr>
          <w:p w14:paraId="05F7AD53" w14:textId="77777777" w:rsidR="004A7EDA" w:rsidRPr="004A7EDA" w:rsidRDefault="004A7EDA" w:rsidP="00286AE3">
            <w:pPr>
              <w:pStyle w:val="TableCopy"/>
              <w:rPr>
                <w:lang w:val="en-GB"/>
              </w:rPr>
            </w:pPr>
            <w:r w:rsidRPr="004A7EDA">
              <w:rPr>
                <w:lang w:val="en-GB"/>
              </w:rPr>
              <w:t>4.6%</w:t>
            </w:r>
          </w:p>
        </w:tc>
        <w:tc>
          <w:tcPr>
            <w:tcW w:w="1024" w:type="dxa"/>
            <w:shd w:val="clear" w:color="auto" w:fill="auto"/>
            <w:tcMar>
              <w:top w:w="113" w:type="dxa"/>
              <w:left w:w="28" w:type="dxa"/>
              <w:bottom w:w="113" w:type="dxa"/>
              <w:right w:w="28" w:type="dxa"/>
            </w:tcMar>
          </w:tcPr>
          <w:p w14:paraId="09C0FBCF" w14:textId="6ED4FAC0" w:rsidR="004A7EDA" w:rsidRPr="004A7EDA" w:rsidRDefault="00BE1D1E" w:rsidP="00286AE3">
            <w:pPr>
              <w:pStyle w:val="TableCopy"/>
              <w:rPr>
                <w:lang w:val="en-GB"/>
              </w:rPr>
            </w:pPr>
            <w:r>
              <w:rPr>
                <w:lang w:val="en-GB"/>
              </w:rPr>
              <w:t>*</w:t>
            </w:r>
          </w:p>
        </w:tc>
      </w:tr>
      <w:tr w:rsidR="004A7EDA" w:rsidRPr="004A7EDA" w14:paraId="1AD307CC" w14:textId="77777777" w:rsidTr="00286AE3">
        <w:trPr>
          <w:trHeight w:val="113"/>
        </w:trPr>
        <w:tc>
          <w:tcPr>
            <w:tcW w:w="4743" w:type="dxa"/>
            <w:shd w:val="clear" w:color="auto" w:fill="auto"/>
            <w:tcMar>
              <w:top w:w="113" w:type="dxa"/>
              <w:left w:w="28" w:type="dxa"/>
              <w:bottom w:w="113" w:type="dxa"/>
              <w:right w:w="28" w:type="dxa"/>
            </w:tcMar>
          </w:tcPr>
          <w:p w14:paraId="5CF6377C" w14:textId="77777777" w:rsidR="004A7EDA" w:rsidRPr="004A7EDA" w:rsidRDefault="004A7EDA" w:rsidP="00286AE3">
            <w:pPr>
              <w:pStyle w:val="TableCopy"/>
              <w:rPr>
                <w:lang w:val="en-GB"/>
              </w:rPr>
            </w:pPr>
            <w:r w:rsidRPr="004A7EDA">
              <w:rPr>
                <w:lang w:val="en-GB"/>
              </w:rPr>
              <w:t>Value of co-investment from external (non-state) funding sources attracted to the Department’s research projects that support productive agriculture</w:t>
            </w:r>
          </w:p>
        </w:tc>
        <w:tc>
          <w:tcPr>
            <w:tcW w:w="1020" w:type="dxa"/>
            <w:shd w:val="clear" w:color="auto" w:fill="auto"/>
            <w:tcMar>
              <w:top w:w="113" w:type="dxa"/>
              <w:left w:w="28" w:type="dxa"/>
              <w:bottom w:w="113" w:type="dxa"/>
              <w:right w:w="28" w:type="dxa"/>
            </w:tcMar>
          </w:tcPr>
          <w:p w14:paraId="6CBB8083" w14:textId="77777777" w:rsidR="004A7EDA" w:rsidRPr="004A7EDA" w:rsidRDefault="004A7EDA" w:rsidP="00286AE3">
            <w:pPr>
              <w:pStyle w:val="TableCopy"/>
              <w:rPr>
                <w:lang w:val="en-GB"/>
              </w:rPr>
            </w:pPr>
            <w:r w:rsidRPr="004A7EDA">
              <w:rPr>
                <w:lang w:val="en-GB"/>
              </w:rPr>
              <w:t>$ million</w:t>
            </w:r>
          </w:p>
        </w:tc>
        <w:tc>
          <w:tcPr>
            <w:tcW w:w="1019" w:type="dxa"/>
            <w:shd w:val="clear" w:color="auto" w:fill="auto"/>
            <w:tcMar>
              <w:top w:w="113" w:type="dxa"/>
              <w:left w:w="28" w:type="dxa"/>
              <w:bottom w:w="113" w:type="dxa"/>
              <w:right w:w="28" w:type="dxa"/>
            </w:tcMar>
          </w:tcPr>
          <w:p w14:paraId="703E1414" w14:textId="77777777" w:rsidR="004A7EDA" w:rsidRPr="004A7EDA" w:rsidRDefault="004A7EDA" w:rsidP="00286AE3">
            <w:pPr>
              <w:pStyle w:val="TableCopy"/>
              <w:rPr>
                <w:lang w:val="en-GB"/>
              </w:rPr>
            </w:pPr>
            <w:r w:rsidRPr="004A7EDA">
              <w:rPr>
                <w:lang w:val="en-GB"/>
              </w:rPr>
              <w:t>42.9</w:t>
            </w:r>
          </w:p>
        </w:tc>
        <w:tc>
          <w:tcPr>
            <w:tcW w:w="1020" w:type="dxa"/>
            <w:shd w:val="clear" w:color="auto" w:fill="auto"/>
            <w:tcMar>
              <w:top w:w="113" w:type="dxa"/>
              <w:left w:w="28" w:type="dxa"/>
              <w:bottom w:w="113" w:type="dxa"/>
              <w:right w:w="28" w:type="dxa"/>
            </w:tcMar>
          </w:tcPr>
          <w:p w14:paraId="18953216" w14:textId="77777777" w:rsidR="004A7EDA" w:rsidRPr="004A7EDA" w:rsidRDefault="004A7EDA" w:rsidP="00286AE3">
            <w:pPr>
              <w:pStyle w:val="TableCopy"/>
              <w:rPr>
                <w:lang w:val="en-GB"/>
              </w:rPr>
            </w:pPr>
            <w:r w:rsidRPr="004A7EDA">
              <w:rPr>
                <w:lang w:val="en-GB"/>
              </w:rPr>
              <w:t>41</w:t>
            </w:r>
          </w:p>
        </w:tc>
        <w:tc>
          <w:tcPr>
            <w:tcW w:w="1380" w:type="dxa"/>
            <w:shd w:val="clear" w:color="auto" w:fill="auto"/>
            <w:tcMar>
              <w:top w:w="113" w:type="dxa"/>
              <w:left w:w="28" w:type="dxa"/>
              <w:bottom w:w="113" w:type="dxa"/>
              <w:right w:w="28" w:type="dxa"/>
            </w:tcMar>
          </w:tcPr>
          <w:p w14:paraId="2EAF4258" w14:textId="77777777" w:rsidR="004A7EDA" w:rsidRPr="004A7EDA" w:rsidRDefault="004A7EDA" w:rsidP="00286AE3">
            <w:pPr>
              <w:pStyle w:val="TableCopy"/>
              <w:rPr>
                <w:lang w:val="en-GB"/>
              </w:rPr>
            </w:pPr>
            <w:r w:rsidRPr="004A7EDA">
              <w:rPr>
                <w:lang w:val="en-GB"/>
              </w:rPr>
              <w:t>4.6%</w:t>
            </w:r>
          </w:p>
        </w:tc>
        <w:tc>
          <w:tcPr>
            <w:tcW w:w="1024" w:type="dxa"/>
            <w:shd w:val="clear" w:color="auto" w:fill="auto"/>
            <w:tcMar>
              <w:top w:w="113" w:type="dxa"/>
              <w:left w:w="28" w:type="dxa"/>
              <w:bottom w:w="113" w:type="dxa"/>
              <w:right w:w="28" w:type="dxa"/>
            </w:tcMar>
          </w:tcPr>
          <w:p w14:paraId="14910755" w14:textId="72942A81" w:rsidR="004A7EDA" w:rsidRPr="004A7EDA" w:rsidRDefault="00BE1D1E" w:rsidP="00286AE3">
            <w:pPr>
              <w:pStyle w:val="TableCopy"/>
              <w:rPr>
                <w:lang w:val="en-GB"/>
              </w:rPr>
            </w:pPr>
            <w:r>
              <w:rPr>
                <w:lang w:val="en-GB"/>
              </w:rPr>
              <w:t>*</w:t>
            </w:r>
          </w:p>
        </w:tc>
      </w:tr>
      <w:tr w:rsidR="004A7EDA" w:rsidRPr="004A7EDA" w14:paraId="7A9BC02B" w14:textId="77777777" w:rsidTr="0041342C">
        <w:trPr>
          <w:trHeight w:val="113"/>
        </w:trPr>
        <w:tc>
          <w:tcPr>
            <w:tcW w:w="10206" w:type="dxa"/>
            <w:gridSpan w:val="6"/>
            <w:shd w:val="clear" w:color="auto" w:fill="auto"/>
            <w:tcMar>
              <w:top w:w="113" w:type="dxa"/>
              <w:left w:w="28" w:type="dxa"/>
              <w:bottom w:w="113" w:type="dxa"/>
              <w:right w:w="28" w:type="dxa"/>
            </w:tcMar>
          </w:tcPr>
          <w:p w14:paraId="2CDECE44" w14:textId="77777777" w:rsidR="004A7EDA" w:rsidRPr="004A7EDA" w:rsidRDefault="004A7EDA" w:rsidP="00286AE3">
            <w:pPr>
              <w:pStyle w:val="TableCopy"/>
              <w:rPr>
                <w:lang w:val="en-GB"/>
              </w:rPr>
            </w:pPr>
            <w:r w:rsidRPr="004A7EDA">
              <w:rPr>
                <w:lang w:val="en-GB"/>
              </w:rPr>
              <w:t>Quality</w:t>
            </w:r>
          </w:p>
        </w:tc>
      </w:tr>
      <w:tr w:rsidR="004A7EDA" w:rsidRPr="004A7EDA" w14:paraId="71DD34D6" w14:textId="77777777" w:rsidTr="00286AE3">
        <w:trPr>
          <w:trHeight w:val="113"/>
        </w:trPr>
        <w:tc>
          <w:tcPr>
            <w:tcW w:w="4743" w:type="dxa"/>
            <w:shd w:val="clear" w:color="auto" w:fill="auto"/>
            <w:tcMar>
              <w:top w:w="113" w:type="dxa"/>
              <w:left w:w="28" w:type="dxa"/>
              <w:bottom w:w="113" w:type="dxa"/>
              <w:right w:w="28" w:type="dxa"/>
            </w:tcMar>
          </w:tcPr>
          <w:p w14:paraId="44283E09" w14:textId="77777777" w:rsidR="004A7EDA" w:rsidRPr="004A7EDA" w:rsidRDefault="004A7EDA" w:rsidP="00286AE3">
            <w:pPr>
              <w:pStyle w:val="TableCopy"/>
              <w:rPr>
                <w:lang w:val="en-GB"/>
              </w:rPr>
            </w:pPr>
            <w:r w:rsidRPr="004A7EDA">
              <w:rPr>
                <w:lang w:val="en-GB"/>
              </w:rPr>
              <w:t>Satisfaction rating of industry investors in agriculture productivity research and development</w:t>
            </w:r>
          </w:p>
        </w:tc>
        <w:tc>
          <w:tcPr>
            <w:tcW w:w="1020" w:type="dxa"/>
            <w:shd w:val="clear" w:color="auto" w:fill="auto"/>
            <w:tcMar>
              <w:top w:w="113" w:type="dxa"/>
              <w:left w:w="28" w:type="dxa"/>
              <w:bottom w:w="113" w:type="dxa"/>
              <w:right w:w="28" w:type="dxa"/>
            </w:tcMar>
          </w:tcPr>
          <w:p w14:paraId="56E0C865"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08749E77" w14:textId="77777777" w:rsidR="004A7EDA" w:rsidRPr="004A7EDA" w:rsidRDefault="004A7EDA" w:rsidP="00286AE3">
            <w:pPr>
              <w:pStyle w:val="TableCopy"/>
              <w:rPr>
                <w:lang w:val="en-GB"/>
              </w:rPr>
            </w:pPr>
            <w:r w:rsidRPr="004A7EDA">
              <w:rPr>
                <w:lang w:val="en-GB"/>
              </w:rPr>
              <w:t>9</w:t>
            </w:r>
          </w:p>
        </w:tc>
        <w:tc>
          <w:tcPr>
            <w:tcW w:w="1020" w:type="dxa"/>
            <w:shd w:val="clear" w:color="auto" w:fill="auto"/>
            <w:tcMar>
              <w:top w:w="113" w:type="dxa"/>
              <w:left w:w="28" w:type="dxa"/>
              <w:bottom w:w="113" w:type="dxa"/>
              <w:right w:w="28" w:type="dxa"/>
            </w:tcMar>
          </w:tcPr>
          <w:p w14:paraId="7CEFF18D" w14:textId="77777777" w:rsidR="004A7EDA" w:rsidRPr="004A7EDA" w:rsidRDefault="004A7EDA" w:rsidP="00286AE3">
            <w:pPr>
              <w:pStyle w:val="TableCopy"/>
              <w:rPr>
                <w:lang w:val="en-GB"/>
              </w:rPr>
            </w:pPr>
            <w:r w:rsidRPr="004A7EDA">
              <w:rPr>
                <w:lang w:val="en-GB"/>
              </w:rPr>
              <w:t>7</w:t>
            </w:r>
          </w:p>
        </w:tc>
        <w:tc>
          <w:tcPr>
            <w:tcW w:w="1380" w:type="dxa"/>
            <w:shd w:val="clear" w:color="auto" w:fill="auto"/>
            <w:tcMar>
              <w:top w:w="113" w:type="dxa"/>
              <w:left w:w="28" w:type="dxa"/>
              <w:bottom w:w="113" w:type="dxa"/>
              <w:right w:w="28" w:type="dxa"/>
            </w:tcMar>
          </w:tcPr>
          <w:p w14:paraId="1C12A284" w14:textId="77777777" w:rsidR="004A7EDA" w:rsidRPr="004A7EDA" w:rsidRDefault="004A7EDA" w:rsidP="00286AE3">
            <w:pPr>
              <w:pStyle w:val="TableCopy"/>
              <w:rPr>
                <w:lang w:val="en-GB"/>
              </w:rPr>
            </w:pPr>
            <w:r w:rsidRPr="004A7EDA">
              <w:rPr>
                <w:lang w:val="en-GB"/>
              </w:rPr>
              <w:t>28.6%</w:t>
            </w:r>
          </w:p>
        </w:tc>
        <w:tc>
          <w:tcPr>
            <w:tcW w:w="1024" w:type="dxa"/>
            <w:shd w:val="clear" w:color="auto" w:fill="auto"/>
            <w:tcMar>
              <w:top w:w="113" w:type="dxa"/>
              <w:left w:w="28" w:type="dxa"/>
              <w:bottom w:w="113" w:type="dxa"/>
              <w:right w:w="28" w:type="dxa"/>
            </w:tcMar>
          </w:tcPr>
          <w:p w14:paraId="11F151D6" w14:textId="6BE356D9" w:rsidR="004A7EDA" w:rsidRPr="004A7EDA" w:rsidRDefault="00BE1D1E" w:rsidP="00286AE3">
            <w:pPr>
              <w:pStyle w:val="TableCopy"/>
              <w:rPr>
                <w:lang w:val="en-GB"/>
              </w:rPr>
            </w:pPr>
            <w:r>
              <w:rPr>
                <w:lang w:val="en-GB"/>
              </w:rPr>
              <w:t>*</w:t>
            </w:r>
          </w:p>
        </w:tc>
      </w:tr>
      <w:tr w:rsidR="004A7EDA" w:rsidRPr="004A7EDA" w14:paraId="2DFCCD18" w14:textId="77777777" w:rsidTr="0041342C">
        <w:trPr>
          <w:trHeight w:val="113"/>
        </w:trPr>
        <w:tc>
          <w:tcPr>
            <w:tcW w:w="10206" w:type="dxa"/>
            <w:gridSpan w:val="6"/>
            <w:shd w:val="clear" w:color="auto" w:fill="auto"/>
            <w:tcMar>
              <w:top w:w="113" w:type="dxa"/>
              <w:left w:w="113" w:type="dxa"/>
              <w:bottom w:w="113" w:type="dxa"/>
              <w:right w:w="113" w:type="dxa"/>
            </w:tcMar>
          </w:tcPr>
          <w:p w14:paraId="4E40FB7D" w14:textId="77777777" w:rsidR="004A7EDA" w:rsidRPr="004A7EDA" w:rsidRDefault="004A7EDA" w:rsidP="00286AE3">
            <w:pPr>
              <w:pStyle w:val="TableCopy"/>
            </w:pPr>
            <w:r w:rsidRPr="004A7EDA">
              <w:t xml:space="preserve">Higher result due to the continued success of the Agriculture Victoria Research partnership model where research is jointly designed, </w:t>
            </w:r>
            <w:proofErr w:type="gramStart"/>
            <w:r w:rsidRPr="004A7EDA">
              <w:t>delivered</w:t>
            </w:r>
            <w:proofErr w:type="gramEnd"/>
            <w:r w:rsidRPr="004A7EDA">
              <w:t xml:space="preserve"> and evaluated through a direct engagement and long-term partnership model with industry. This engagement model with industry will continue in 2021–22. </w:t>
            </w:r>
          </w:p>
        </w:tc>
      </w:tr>
      <w:tr w:rsidR="004A7EDA" w:rsidRPr="004A7EDA" w14:paraId="07BC257A" w14:textId="77777777" w:rsidTr="00286AE3">
        <w:trPr>
          <w:trHeight w:val="113"/>
        </w:trPr>
        <w:tc>
          <w:tcPr>
            <w:tcW w:w="4743" w:type="dxa"/>
            <w:shd w:val="clear" w:color="auto" w:fill="auto"/>
            <w:tcMar>
              <w:top w:w="113" w:type="dxa"/>
              <w:left w:w="28" w:type="dxa"/>
              <w:bottom w:w="113" w:type="dxa"/>
              <w:right w:w="28" w:type="dxa"/>
            </w:tcMar>
          </w:tcPr>
          <w:p w14:paraId="5654CDA9" w14:textId="77777777" w:rsidR="004A7EDA" w:rsidRPr="004A7EDA" w:rsidRDefault="004A7EDA" w:rsidP="00286AE3">
            <w:pPr>
              <w:pStyle w:val="TableCopy"/>
              <w:rPr>
                <w:lang w:val="en-GB"/>
              </w:rPr>
            </w:pPr>
            <w:r w:rsidRPr="004A7EDA">
              <w:rPr>
                <w:lang w:val="en-GB"/>
              </w:rPr>
              <w:t>Scientific and technical publications subjected to independent peer review in international and national journals that promote productive agriculture</w:t>
            </w:r>
          </w:p>
        </w:tc>
        <w:tc>
          <w:tcPr>
            <w:tcW w:w="1020" w:type="dxa"/>
            <w:shd w:val="clear" w:color="auto" w:fill="auto"/>
            <w:tcMar>
              <w:top w:w="113" w:type="dxa"/>
              <w:left w:w="28" w:type="dxa"/>
              <w:bottom w:w="113" w:type="dxa"/>
              <w:right w:w="28" w:type="dxa"/>
            </w:tcMar>
          </w:tcPr>
          <w:p w14:paraId="0E62B23A"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7B5C08C6" w14:textId="77777777" w:rsidR="004A7EDA" w:rsidRPr="004A7EDA" w:rsidRDefault="004A7EDA" w:rsidP="00286AE3">
            <w:pPr>
              <w:pStyle w:val="TableCopy"/>
              <w:rPr>
                <w:lang w:val="en-GB"/>
              </w:rPr>
            </w:pPr>
            <w:r w:rsidRPr="004A7EDA">
              <w:rPr>
                <w:lang w:val="en-GB"/>
              </w:rPr>
              <w:t>264</w:t>
            </w:r>
          </w:p>
        </w:tc>
        <w:tc>
          <w:tcPr>
            <w:tcW w:w="1020" w:type="dxa"/>
            <w:shd w:val="clear" w:color="auto" w:fill="auto"/>
            <w:tcMar>
              <w:top w:w="113" w:type="dxa"/>
              <w:left w:w="28" w:type="dxa"/>
              <w:bottom w:w="113" w:type="dxa"/>
              <w:right w:w="28" w:type="dxa"/>
            </w:tcMar>
          </w:tcPr>
          <w:p w14:paraId="14C98C7E" w14:textId="77777777" w:rsidR="004A7EDA" w:rsidRPr="004A7EDA" w:rsidRDefault="004A7EDA" w:rsidP="00286AE3">
            <w:pPr>
              <w:pStyle w:val="TableCopy"/>
              <w:rPr>
                <w:lang w:val="en-GB"/>
              </w:rPr>
            </w:pPr>
            <w:r w:rsidRPr="004A7EDA">
              <w:rPr>
                <w:lang w:val="en-GB"/>
              </w:rPr>
              <w:t>260</w:t>
            </w:r>
          </w:p>
        </w:tc>
        <w:tc>
          <w:tcPr>
            <w:tcW w:w="1380" w:type="dxa"/>
            <w:shd w:val="clear" w:color="auto" w:fill="auto"/>
            <w:tcMar>
              <w:top w:w="113" w:type="dxa"/>
              <w:left w:w="28" w:type="dxa"/>
              <w:bottom w:w="113" w:type="dxa"/>
              <w:right w:w="28" w:type="dxa"/>
            </w:tcMar>
          </w:tcPr>
          <w:p w14:paraId="131F7B4B" w14:textId="77777777" w:rsidR="004A7EDA" w:rsidRPr="004A7EDA" w:rsidRDefault="004A7EDA" w:rsidP="00286AE3">
            <w:pPr>
              <w:pStyle w:val="TableCopy"/>
              <w:rPr>
                <w:lang w:val="en-GB"/>
              </w:rPr>
            </w:pPr>
            <w:r w:rsidRPr="004A7EDA">
              <w:rPr>
                <w:lang w:val="en-GB"/>
              </w:rPr>
              <w:t>1.5%</w:t>
            </w:r>
          </w:p>
        </w:tc>
        <w:tc>
          <w:tcPr>
            <w:tcW w:w="1024" w:type="dxa"/>
            <w:shd w:val="clear" w:color="auto" w:fill="auto"/>
            <w:tcMar>
              <w:top w:w="113" w:type="dxa"/>
              <w:left w:w="28" w:type="dxa"/>
              <w:bottom w:w="113" w:type="dxa"/>
              <w:right w:w="28" w:type="dxa"/>
            </w:tcMar>
          </w:tcPr>
          <w:p w14:paraId="39C9A498" w14:textId="5DCC4B5F" w:rsidR="004A7EDA" w:rsidRPr="004A7EDA" w:rsidRDefault="00BE1D1E" w:rsidP="00286AE3">
            <w:pPr>
              <w:pStyle w:val="TableCopy"/>
              <w:rPr>
                <w:lang w:val="en-GB"/>
              </w:rPr>
            </w:pPr>
            <w:r>
              <w:rPr>
                <w:lang w:val="en-GB"/>
              </w:rPr>
              <w:t>*</w:t>
            </w:r>
          </w:p>
        </w:tc>
      </w:tr>
      <w:tr w:rsidR="004A7EDA" w:rsidRPr="004A7EDA" w14:paraId="23C13F65" w14:textId="77777777" w:rsidTr="0041342C">
        <w:trPr>
          <w:trHeight w:val="113"/>
        </w:trPr>
        <w:tc>
          <w:tcPr>
            <w:tcW w:w="10206" w:type="dxa"/>
            <w:gridSpan w:val="6"/>
            <w:shd w:val="clear" w:color="auto" w:fill="auto"/>
            <w:tcMar>
              <w:top w:w="113" w:type="dxa"/>
              <w:left w:w="28" w:type="dxa"/>
              <w:bottom w:w="113" w:type="dxa"/>
              <w:right w:w="28" w:type="dxa"/>
            </w:tcMar>
          </w:tcPr>
          <w:p w14:paraId="57F66D05" w14:textId="77777777" w:rsidR="004A7EDA" w:rsidRPr="004A7EDA" w:rsidRDefault="004A7EDA" w:rsidP="00286AE3">
            <w:pPr>
              <w:pStyle w:val="TableCopy"/>
              <w:rPr>
                <w:lang w:val="en-GB"/>
              </w:rPr>
            </w:pPr>
            <w:r w:rsidRPr="004A7EDA">
              <w:rPr>
                <w:lang w:val="en-GB"/>
              </w:rPr>
              <w:t>Timeliness</w:t>
            </w:r>
          </w:p>
        </w:tc>
      </w:tr>
      <w:tr w:rsidR="004A7EDA" w:rsidRPr="004A7EDA" w14:paraId="7BD4021D" w14:textId="77777777" w:rsidTr="00286AE3">
        <w:trPr>
          <w:trHeight w:val="113"/>
        </w:trPr>
        <w:tc>
          <w:tcPr>
            <w:tcW w:w="4743" w:type="dxa"/>
            <w:shd w:val="clear" w:color="auto" w:fill="auto"/>
            <w:tcMar>
              <w:top w:w="113" w:type="dxa"/>
              <w:left w:w="28" w:type="dxa"/>
              <w:bottom w:w="113" w:type="dxa"/>
              <w:right w:w="28" w:type="dxa"/>
            </w:tcMar>
          </w:tcPr>
          <w:p w14:paraId="47A9D2B8" w14:textId="77777777" w:rsidR="004A7EDA" w:rsidRPr="004A7EDA" w:rsidRDefault="004A7EDA" w:rsidP="00286AE3">
            <w:pPr>
              <w:pStyle w:val="TableCopy"/>
              <w:rPr>
                <w:lang w:val="en-GB"/>
              </w:rPr>
            </w:pPr>
            <w:r w:rsidRPr="004A7EDA">
              <w:rPr>
                <w:lang w:val="en-GB"/>
              </w:rPr>
              <w:lastRenderedPageBreak/>
              <w:t>Provision of technical advice, diagnostic identification tests on pests and diseases including suspected exotics within agreed timeframes</w:t>
            </w:r>
          </w:p>
        </w:tc>
        <w:tc>
          <w:tcPr>
            <w:tcW w:w="1020" w:type="dxa"/>
            <w:shd w:val="clear" w:color="auto" w:fill="auto"/>
            <w:tcMar>
              <w:top w:w="113" w:type="dxa"/>
              <w:left w:w="28" w:type="dxa"/>
              <w:bottom w:w="113" w:type="dxa"/>
              <w:right w:w="28" w:type="dxa"/>
            </w:tcMar>
          </w:tcPr>
          <w:p w14:paraId="5905AC31"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49ABBB5A" w14:textId="77777777" w:rsidR="004A7EDA" w:rsidRPr="004A7EDA" w:rsidRDefault="004A7EDA" w:rsidP="00286AE3">
            <w:pPr>
              <w:pStyle w:val="TableCopy"/>
              <w:rPr>
                <w:lang w:val="en-GB"/>
              </w:rPr>
            </w:pPr>
            <w:r w:rsidRPr="004A7EDA">
              <w:rPr>
                <w:lang w:val="en-GB"/>
              </w:rPr>
              <w:t>89</w:t>
            </w:r>
          </w:p>
        </w:tc>
        <w:tc>
          <w:tcPr>
            <w:tcW w:w="1020" w:type="dxa"/>
            <w:shd w:val="clear" w:color="auto" w:fill="auto"/>
            <w:tcMar>
              <w:top w:w="113" w:type="dxa"/>
              <w:left w:w="28" w:type="dxa"/>
              <w:bottom w:w="113" w:type="dxa"/>
              <w:right w:w="28" w:type="dxa"/>
            </w:tcMar>
          </w:tcPr>
          <w:p w14:paraId="5C3F4695" w14:textId="77777777" w:rsidR="004A7EDA" w:rsidRPr="004A7EDA" w:rsidRDefault="004A7EDA" w:rsidP="00286AE3">
            <w:pPr>
              <w:pStyle w:val="TableCopy"/>
              <w:rPr>
                <w:lang w:val="en-GB"/>
              </w:rPr>
            </w:pPr>
            <w:r w:rsidRPr="004A7EDA">
              <w:rPr>
                <w:lang w:val="en-GB"/>
              </w:rPr>
              <w:t>85</w:t>
            </w:r>
          </w:p>
        </w:tc>
        <w:tc>
          <w:tcPr>
            <w:tcW w:w="1380" w:type="dxa"/>
            <w:shd w:val="clear" w:color="auto" w:fill="auto"/>
            <w:tcMar>
              <w:top w:w="113" w:type="dxa"/>
              <w:left w:w="28" w:type="dxa"/>
              <w:bottom w:w="113" w:type="dxa"/>
              <w:right w:w="28" w:type="dxa"/>
            </w:tcMar>
          </w:tcPr>
          <w:p w14:paraId="0283A8A3" w14:textId="77777777" w:rsidR="004A7EDA" w:rsidRPr="004A7EDA" w:rsidRDefault="004A7EDA" w:rsidP="00286AE3">
            <w:pPr>
              <w:pStyle w:val="TableCopy"/>
              <w:rPr>
                <w:lang w:val="en-GB"/>
              </w:rPr>
            </w:pPr>
            <w:r w:rsidRPr="004A7EDA">
              <w:rPr>
                <w:lang w:val="en-GB"/>
              </w:rPr>
              <w:t>4.7%</w:t>
            </w:r>
          </w:p>
        </w:tc>
        <w:tc>
          <w:tcPr>
            <w:tcW w:w="1024" w:type="dxa"/>
            <w:shd w:val="clear" w:color="auto" w:fill="auto"/>
            <w:tcMar>
              <w:top w:w="113" w:type="dxa"/>
              <w:left w:w="28" w:type="dxa"/>
              <w:bottom w:w="113" w:type="dxa"/>
              <w:right w:w="28" w:type="dxa"/>
            </w:tcMar>
          </w:tcPr>
          <w:p w14:paraId="0FE914EA" w14:textId="1FD33F73" w:rsidR="004A7EDA" w:rsidRPr="004A7EDA" w:rsidRDefault="00BE1D1E" w:rsidP="00286AE3">
            <w:pPr>
              <w:pStyle w:val="TableCopy"/>
              <w:rPr>
                <w:lang w:val="en-GB"/>
              </w:rPr>
            </w:pPr>
            <w:r>
              <w:rPr>
                <w:lang w:val="en-GB"/>
              </w:rPr>
              <w:t>*</w:t>
            </w:r>
          </w:p>
        </w:tc>
      </w:tr>
      <w:tr w:rsidR="004A7EDA" w:rsidRPr="004A7EDA" w14:paraId="38A12888" w14:textId="77777777" w:rsidTr="00286AE3">
        <w:trPr>
          <w:trHeight w:val="113"/>
        </w:trPr>
        <w:tc>
          <w:tcPr>
            <w:tcW w:w="4743" w:type="dxa"/>
            <w:shd w:val="clear" w:color="auto" w:fill="auto"/>
            <w:tcMar>
              <w:top w:w="113" w:type="dxa"/>
              <w:left w:w="28" w:type="dxa"/>
              <w:bottom w:w="113" w:type="dxa"/>
              <w:right w:w="28" w:type="dxa"/>
            </w:tcMar>
          </w:tcPr>
          <w:p w14:paraId="0F6210B8" w14:textId="77777777" w:rsidR="004A7EDA" w:rsidRPr="004A7EDA" w:rsidRDefault="004A7EDA" w:rsidP="00286AE3">
            <w:pPr>
              <w:pStyle w:val="TableCopy"/>
              <w:rPr>
                <w:lang w:val="en-GB"/>
              </w:rPr>
            </w:pPr>
            <w:r w:rsidRPr="004A7EDA">
              <w:rPr>
                <w:lang w:val="en-GB"/>
              </w:rPr>
              <w:t>Research project milestones and reports completed</w:t>
            </w:r>
            <w:r w:rsidRPr="004A7EDA">
              <w:rPr>
                <w:lang w:val="en-GB"/>
              </w:rPr>
              <w:br/>
              <w:t>on time</w:t>
            </w:r>
          </w:p>
        </w:tc>
        <w:tc>
          <w:tcPr>
            <w:tcW w:w="1020" w:type="dxa"/>
            <w:shd w:val="clear" w:color="auto" w:fill="auto"/>
            <w:tcMar>
              <w:top w:w="113" w:type="dxa"/>
              <w:left w:w="28" w:type="dxa"/>
              <w:bottom w:w="113" w:type="dxa"/>
              <w:right w:w="28" w:type="dxa"/>
            </w:tcMar>
          </w:tcPr>
          <w:p w14:paraId="402811D3"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5C40A138" w14:textId="77777777" w:rsidR="004A7EDA" w:rsidRPr="004A7EDA" w:rsidRDefault="004A7EDA" w:rsidP="00286AE3">
            <w:pPr>
              <w:pStyle w:val="TableCopy"/>
              <w:rPr>
                <w:lang w:val="en-GB"/>
              </w:rPr>
            </w:pPr>
            <w:r w:rsidRPr="004A7EDA">
              <w:rPr>
                <w:lang w:val="en-GB"/>
              </w:rPr>
              <w:t>85.6</w:t>
            </w:r>
          </w:p>
        </w:tc>
        <w:tc>
          <w:tcPr>
            <w:tcW w:w="1020" w:type="dxa"/>
            <w:shd w:val="clear" w:color="auto" w:fill="auto"/>
            <w:tcMar>
              <w:top w:w="113" w:type="dxa"/>
              <w:left w:w="28" w:type="dxa"/>
              <w:bottom w:w="113" w:type="dxa"/>
              <w:right w:w="28" w:type="dxa"/>
            </w:tcMar>
          </w:tcPr>
          <w:p w14:paraId="3675CBD1" w14:textId="77777777" w:rsidR="004A7EDA" w:rsidRPr="004A7EDA" w:rsidRDefault="004A7EDA" w:rsidP="00286AE3">
            <w:pPr>
              <w:pStyle w:val="TableCopy"/>
              <w:rPr>
                <w:lang w:val="en-GB"/>
              </w:rPr>
            </w:pPr>
            <w:r w:rsidRPr="004A7EDA">
              <w:rPr>
                <w:lang w:val="en-GB"/>
              </w:rPr>
              <w:t>90</w:t>
            </w:r>
          </w:p>
        </w:tc>
        <w:tc>
          <w:tcPr>
            <w:tcW w:w="1380" w:type="dxa"/>
            <w:shd w:val="clear" w:color="auto" w:fill="auto"/>
            <w:tcMar>
              <w:top w:w="113" w:type="dxa"/>
              <w:left w:w="28" w:type="dxa"/>
              <w:bottom w:w="113" w:type="dxa"/>
              <w:right w:w="28" w:type="dxa"/>
            </w:tcMar>
          </w:tcPr>
          <w:p w14:paraId="6018EF09" w14:textId="77777777" w:rsidR="004A7EDA" w:rsidRPr="004A7EDA" w:rsidRDefault="004A7EDA" w:rsidP="00286AE3">
            <w:pPr>
              <w:pStyle w:val="TableCopy"/>
              <w:rPr>
                <w:lang w:val="en-GB"/>
              </w:rPr>
            </w:pPr>
            <w:r w:rsidRPr="004A7EDA">
              <w:rPr>
                <w:lang w:val="en-GB"/>
              </w:rPr>
              <w:t>-4.9%</w:t>
            </w:r>
          </w:p>
        </w:tc>
        <w:tc>
          <w:tcPr>
            <w:tcW w:w="1024" w:type="dxa"/>
            <w:shd w:val="clear" w:color="auto" w:fill="auto"/>
            <w:tcMar>
              <w:top w:w="113" w:type="dxa"/>
              <w:left w:w="28" w:type="dxa"/>
              <w:bottom w:w="113" w:type="dxa"/>
              <w:right w:w="28" w:type="dxa"/>
            </w:tcMar>
          </w:tcPr>
          <w:p w14:paraId="37970B81" w14:textId="1DB41D53" w:rsidR="004A7EDA" w:rsidRPr="004A7EDA" w:rsidRDefault="00BE1D1E" w:rsidP="00286AE3">
            <w:pPr>
              <w:pStyle w:val="TableCopy"/>
              <w:rPr>
                <w:lang w:val="en-GB"/>
              </w:rPr>
            </w:pPr>
            <w:r>
              <w:rPr>
                <w:lang w:val="en-GB"/>
              </w:rPr>
              <w:t>–</w:t>
            </w:r>
          </w:p>
        </w:tc>
      </w:tr>
      <w:tr w:rsidR="004A7EDA" w:rsidRPr="004A7EDA" w14:paraId="2F70C8BF" w14:textId="77777777" w:rsidTr="0041342C">
        <w:trPr>
          <w:trHeight w:val="113"/>
        </w:trPr>
        <w:tc>
          <w:tcPr>
            <w:tcW w:w="10206" w:type="dxa"/>
            <w:gridSpan w:val="6"/>
            <w:shd w:val="clear" w:color="auto" w:fill="auto"/>
            <w:tcMar>
              <w:top w:w="113" w:type="dxa"/>
              <w:left w:w="28" w:type="dxa"/>
              <w:bottom w:w="113" w:type="dxa"/>
              <w:right w:w="28" w:type="dxa"/>
            </w:tcMar>
          </w:tcPr>
          <w:p w14:paraId="199CCCFD" w14:textId="77777777" w:rsidR="004A7EDA" w:rsidRPr="004A7EDA" w:rsidRDefault="004A7EDA" w:rsidP="00286AE3">
            <w:pPr>
              <w:pStyle w:val="TableCopy"/>
              <w:rPr>
                <w:lang w:val="en-GB"/>
              </w:rPr>
            </w:pPr>
            <w:r w:rsidRPr="004A7EDA">
              <w:rPr>
                <w:lang w:val="en-GB"/>
              </w:rPr>
              <w:t>Cost</w:t>
            </w:r>
          </w:p>
        </w:tc>
      </w:tr>
      <w:tr w:rsidR="004A7EDA" w:rsidRPr="004A7EDA" w14:paraId="2F7268C4" w14:textId="77777777" w:rsidTr="00286AE3">
        <w:trPr>
          <w:trHeight w:val="113"/>
        </w:trPr>
        <w:tc>
          <w:tcPr>
            <w:tcW w:w="4743" w:type="dxa"/>
            <w:shd w:val="clear" w:color="auto" w:fill="auto"/>
            <w:tcMar>
              <w:top w:w="113" w:type="dxa"/>
              <w:left w:w="28" w:type="dxa"/>
              <w:bottom w:w="113" w:type="dxa"/>
              <w:right w:w="28" w:type="dxa"/>
            </w:tcMar>
          </w:tcPr>
          <w:p w14:paraId="14D22221" w14:textId="77777777" w:rsidR="004A7EDA" w:rsidRPr="004A7EDA" w:rsidRDefault="004A7EDA" w:rsidP="00286AE3">
            <w:pPr>
              <w:pStyle w:val="TableCopy"/>
              <w:rPr>
                <w:lang w:val="en-GB"/>
              </w:rPr>
            </w:pPr>
            <w:r w:rsidRPr="004A7EDA">
              <w:rPr>
                <w:lang w:val="en-GB"/>
              </w:rPr>
              <w:t>Total output cost</w:t>
            </w:r>
          </w:p>
        </w:tc>
        <w:tc>
          <w:tcPr>
            <w:tcW w:w="1020" w:type="dxa"/>
            <w:shd w:val="clear" w:color="auto" w:fill="auto"/>
            <w:tcMar>
              <w:top w:w="113" w:type="dxa"/>
              <w:left w:w="28" w:type="dxa"/>
              <w:bottom w:w="113" w:type="dxa"/>
              <w:right w:w="28" w:type="dxa"/>
            </w:tcMar>
          </w:tcPr>
          <w:p w14:paraId="5C73FE30" w14:textId="77777777" w:rsidR="004A7EDA" w:rsidRPr="004A7EDA" w:rsidRDefault="004A7EDA" w:rsidP="00286AE3">
            <w:pPr>
              <w:pStyle w:val="TableCopy"/>
              <w:rPr>
                <w:lang w:val="en-GB"/>
              </w:rPr>
            </w:pPr>
            <w:r w:rsidRPr="004A7EDA">
              <w:rPr>
                <w:lang w:val="en-GB"/>
              </w:rPr>
              <w:t>$ million</w:t>
            </w:r>
          </w:p>
        </w:tc>
        <w:tc>
          <w:tcPr>
            <w:tcW w:w="1019" w:type="dxa"/>
            <w:shd w:val="clear" w:color="auto" w:fill="auto"/>
            <w:tcMar>
              <w:top w:w="113" w:type="dxa"/>
              <w:left w:w="28" w:type="dxa"/>
              <w:bottom w:w="113" w:type="dxa"/>
              <w:right w:w="28" w:type="dxa"/>
            </w:tcMar>
          </w:tcPr>
          <w:p w14:paraId="68EB6C19" w14:textId="77777777" w:rsidR="004A7EDA" w:rsidRPr="004A7EDA" w:rsidRDefault="004A7EDA" w:rsidP="00286AE3">
            <w:pPr>
              <w:pStyle w:val="TableCopy"/>
              <w:rPr>
                <w:lang w:val="en-GB"/>
              </w:rPr>
            </w:pPr>
            <w:r w:rsidRPr="004A7EDA">
              <w:rPr>
                <w:lang w:val="en-GB"/>
              </w:rPr>
              <w:t>150.1</w:t>
            </w:r>
          </w:p>
        </w:tc>
        <w:tc>
          <w:tcPr>
            <w:tcW w:w="1020" w:type="dxa"/>
            <w:shd w:val="clear" w:color="auto" w:fill="auto"/>
            <w:tcMar>
              <w:top w:w="113" w:type="dxa"/>
              <w:left w:w="28" w:type="dxa"/>
              <w:bottom w:w="113" w:type="dxa"/>
              <w:right w:w="28" w:type="dxa"/>
            </w:tcMar>
          </w:tcPr>
          <w:p w14:paraId="2A9EF42B" w14:textId="77777777" w:rsidR="004A7EDA" w:rsidRPr="004A7EDA" w:rsidRDefault="004A7EDA" w:rsidP="00286AE3">
            <w:pPr>
              <w:pStyle w:val="TableCopy"/>
              <w:rPr>
                <w:lang w:val="en-GB"/>
              </w:rPr>
            </w:pPr>
            <w:r w:rsidRPr="004A7EDA">
              <w:rPr>
                <w:lang w:val="en-GB"/>
              </w:rPr>
              <w:t>147</w:t>
            </w:r>
          </w:p>
        </w:tc>
        <w:tc>
          <w:tcPr>
            <w:tcW w:w="1380" w:type="dxa"/>
            <w:shd w:val="clear" w:color="auto" w:fill="auto"/>
            <w:tcMar>
              <w:top w:w="113" w:type="dxa"/>
              <w:left w:w="28" w:type="dxa"/>
              <w:bottom w:w="113" w:type="dxa"/>
              <w:right w:w="28" w:type="dxa"/>
            </w:tcMar>
          </w:tcPr>
          <w:p w14:paraId="2F09DD7B" w14:textId="77777777" w:rsidR="004A7EDA" w:rsidRPr="004A7EDA" w:rsidRDefault="004A7EDA" w:rsidP="00286AE3">
            <w:pPr>
              <w:pStyle w:val="TableCopy"/>
              <w:rPr>
                <w:lang w:val="en-GB"/>
              </w:rPr>
            </w:pPr>
            <w:r w:rsidRPr="004A7EDA">
              <w:rPr>
                <w:lang w:val="en-GB"/>
              </w:rPr>
              <w:t>2.1%</w:t>
            </w:r>
          </w:p>
        </w:tc>
        <w:tc>
          <w:tcPr>
            <w:tcW w:w="1024" w:type="dxa"/>
            <w:shd w:val="clear" w:color="auto" w:fill="auto"/>
            <w:tcMar>
              <w:top w:w="113" w:type="dxa"/>
              <w:left w:w="28" w:type="dxa"/>
              <w:bottom w:w="113" w:type="dxa"/>
              <w:right w:w="28" w:type="dxa"/>
            </w:tcMar>
          </w:tcPr>
          <w:p w14:paraId="28827294" w14:textId="0F2E5964" w:rsidR="004A7EDA" w:rsidRPr="004A7EDA" w:rsidRDefault="00BE1D1E" w:rsidP="00286AE3">
            <w:pPr>
              <w:pStyle w:val="TableCopy"/>
              <w:rPr>
                <w:lang w:val="en-GB"/>
              </w:rPr>
            </w:pPr>
            <w:r>
              <w:rPr>
                <w:lang w:val="en-GB"/>
              </w:rPr>
              <w:t>–</w:t>
            </w:r>
          </w:p>
        </w:tc>
      </w:tr>
      <w:tr w:rsidR="004A7EDA" w:rsidRPr="004A7EDA" w14:paraId="09BF5F7A" w14:textId="77777777" w:rsidTr="0041342C">
        <w:trPr>
          <w:trHeight w:val="113"/>
        </w:trPr>
        <w:tc>
          <w:tcPr>
            <w:tcW w:w="10206" w:type="dxa"/>
            <w:gridSpan w:val="6"/>
            <w:shd w:val="clear" w:color="auto" w:fill="auto"/>
            <w:tcMar>
              <w:top w:w="113" w:type="dxa"/>
              <w:left w:w="28" w:type="dxa"/>
              <w:bottom w:w="113" w:type="dxa"/>
              <w:right w:w="28" w:type="dxa"/>
            </w:tcMar>
          </w:tcPr>
          <w:p w14:paraId="5329E83D" w14:textId="77777777" w:rsidR="004A7EDA" w:rsidRPr="004A7EDA" w:rsidRDefault="004A7EDA" w:rsidP="00286AE3">
            <w:pPr>
              <w:pStyle w:val="TableCopy"/>
              <w:rPr>
                <w:lang w:val="en-GB"/>
              </w:rPr>
            </w:pPr>
            <w:r w:rsidRPr="004A7EDA">
              <w:rPr>
                <w:lang w:val="en-GB"/>
              </w:rPr>
              <w:t>Biosecurity and Agriculture Services</w:t>
            </w:r>
          </w:p>
        </w:tc>
      </w:tr>
      <w:tr w:rsidR="004A7EDA" w:rsidRPr="004A7EDA" w14:paraId="633525B3" w14:textId="77777777" w:rsidTr="0041342C">
        <w:trPr>
          <w:trHeight w:val="113"/>
        </w:trPr>
        <w:tc>
          <w:tcPr>
            <w:tcW w:w="10206" w:type="dxa"/>
            <w:gridSpan w:val="6"/>
            <w:shd w:val="clear" w:color="auto" w:fill="auto"/>
            <w:tcMar>
              <w:top w:w="113" w:type="dxa"/>
              <w:left w:w="28" w:type="dxa"/>
              <w:bottom w:w="113" w:type="dxa"/>
              <w:right w:w="28" w:type="dxa"/>
            </w:tcMar>
          </w:tcPr>
          <w:p w14:paraId="0DBE93B4" w14:textId="77777777" w:rsidR="004A7EDA" w:rsidRPr="004A7EDA" w:rsidRDefault="004A7EDA" w:rsidP="00286AE3">
            <w:pPr>
              <w:pStyle w:val="TableCopy"/>
              <w:rPr>
                <w:lang w:val="en-GB"/>
              </w:rPr>
            </w:pPr>
            <w:r w:rsidRPr="004A7EDA">
              <w:rPr>
                <w:lang w:val="en-GB"/>
              </w:rPr>
              <w:t>This sub-output delivers biosecurity, agriculture and emergency management services and regulatory programs which support the food and fibre sector to achieve sustainable growth while managing risks and minimising adverse impacts</w:t>
            </w:r>
            <w:r w:rsidRPr="004A7EDA">
              <w:rPr>
                <w:lang w:val="en-GB"/>
              </w:rPr>
              <w:br/>
              <w:t>to the economy, environment and public health and safety.</w:t>
            </w:r>
          </w:p>
        </w:tc>
      </w:tr>
      <w:tr w:rsidR="004A7EDA" w:rsidRPr="004A7EDA" w14:paraId="18447E29" w14:textId="77777777" w:rsidTr="0041342C">
        <w:trPr>
          <w:trHeight w:val="113"/>
        </w:trPr>
        <w:tc>
          <w:tcPr>
            <w:tcW w:w="10206" w:type="dxa"/>
            <w:gridSpan w:val="6"/>
            <w:shd w:val="clear" w:color="auto" w:fill="auto"/>
            <w:tcMar>
              <w:top w:w="113" w:type="dxa"/>
              <w:left w:w="28" w:type="dxa"/>
              <w:bottom w:w="113" w:type="dxa"/>
              <w:right w:w="28" w:type="dxa"/>
            </w:tcMar>
          </w:tcPr>
          <w:p w14:paraId="08F41E8B" w14:textId="77777777" w:rsidR="004A7EDA" w:rsidRPr="004A7EDA" w:rsidRDefault="004A7EDA" w:rsidP="00286AE3">
            <w:pPr>
              <w:pStyle w:val="TableCopy"/>
              <w:rPr>
                <w:lang w:val="en-GB"/>
              </w:rPr>
            </w:pPr>
            <w:r w:rsidRPr="004A7EDA">
              <w:rPr>
                <w:lang w:val="en-GB"/>
              </w:rPr>
              <w:t>Quantity</w:t>
            </w:r>
          </w:p>
        </w:tc>
      </w:tr>
      <w:tr w:rsidR="004A7EDA" w:rsidRPr="004A7EDA" w14:paraId="2836F139" w14:textId="77777777" w:rsidTr="00286AE3">
        <w:trPr>
          <w:trHeight w:val="113"/>
        </w:trPr>
        <w:tc>
          <w:tcPr>
            <w:tcW w:w="4743" w:type="dxa"/>
            <w:shd w:val="clear" w:color="auto" w:fill="auto"/>
            <w:tcMar>
              <w:top w:w="113" w:type="dxa"/>
              <w:left w:w="28" w:type="dxa"/>
              <w:bottom w:w="113" w:type="dxa"/>
              <w:right w:w="28" w:type="dxa"/>
            </w:tcMar>
          </w:tcPr>
          <w:p w14:paraId="16A89F33" w14:textId="77777777" w:rsidR="004A7EDA" w:rsidRPr="004A7EDA" w:rsidRDefault="004A7EDA" w:rsidP="00286AE3">
            <w:pPr>
              <w:pStyle w:val="TableCopy"/>
              <w:rPr>
                <w:lang w:val="en-GB"/>
              </w:rPr>
            </w:pPr>
            <w:r w:rsidRPr="004A7EDA">
              <w:rPr>
                <w:lang w:val="en-GB"/>
              </w:rPr>
              <w:t>Animal pest, disease and residue control programs maintained to ensure Victorian agricultural produce complies with food safety and biosecurity standards required to access markets</w:t>
            </w:r>
          </w:p>
        </w:tc>
        <w:tc>
          <w:tcPr>
            <w:tcW w:w="1020" w:type="dxa"/>
            <w:shd w:val="clear" w:color="auto" w:fill="auto"/>
            <w:tcMar>
              <w:top w:w="113" w:type="dxa"/>
              <w:left w:w="28" w:type="dxa"/>
              <w:bottom w:w="113" w:type="dxa"/>
              <w:right w:w="28" w:type="dxa"/>
            </w:tcMar>
          </w:tcPr>
          <w:p w14:paraId="5DF012C2"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5E0C9542" w14:textId="77777777" w:rsidR="004A7EDA" w:rsidRPr="004A7EDA" w:rsidRDefault="004A7EDA" w:rsidP="00286AE3">
            <w:pPr>
              <w:pStyle w:val="TableCopy"/>
              <w:rPr>
                <w:lang w:val="en-GB"/>
              </w:rPr>
            </w:pPr>
            <w:r w:rsidRPr="004A7EDA">
              <w:rPr>
                <w:lang w:val="en-GB"/>
              </w:rPr>
              <w:t>4</w:t>
            </w:r>
          </w:p>
        </w:tc>
        <w:tc>
          <w:tcPr>
            <w:tcW w:w="1020" w:type="dxa"/>
            <w:shd w:val="clear" w:color="auto" w:fill="auto"/>
            <w:tcMar>
              <w:top w:w="113" w:type="dxa"/>
              <w:left w:w="28" w:type="dxa"/>
              <w:bottom w:w="113" w:type="dxa"/>
              <w:right w:w="28" w:type="dxa"/>
            </w:tcMar>
          </w:tcPr>
          <w:p w14:paraId="23C6FDB0" w14:textId="77777777" w:rsidR="004A7EDA" w:rsidRPr="004A7EDA" w:rsidRDefault="004A7EDA" w:rsidP="00286AE3">
            <w:pPr>
              <w:pStyle w:val="TableCopy"/>
              <w:rPr>
                <w:lang w:val="en-GB"/>
              </w:rPr>
            </w:pPr>
            <w:r w:rsidRPr="004A7EDA">
              <w:rPr>
                <w:lang w:val="en-GB"/>
              </w:rPr>
              <w:t>5</w:t>
            </w:r>
          </w:p>
        </w:tc>
        <w:tc>
          <w:tcPr>
            <w:tcW w:w="1380" w:type="dxa"/>
            <w:shd w:val="clear" w:color="auto" w:fill="auto"/>
            <w:tcMar>
              <w:top w:w="113" w:type="dxa"/>
              <w:left w:w="28" w:type="dxa"/>
              <w:bottom w:w="113" w:type="dxa"/>
              <w:right w:w="28" w:type="dxa"/>
            </w:tcMar>
          </w:tcPr>
          <w:p w14:paraId="23FF1451" w14:textId="77777777" w:rsidR="004A7EDA" w:rsidRPr="004A7EDA" w:rsidRDefault="004A7EDA" w:rsidP="00286AE3">
            <w:pPr>
              <w:pStyle w:val="TableCopy"/>
              <w:rPr>
                <w:lang w:val="en-GB"/>
              </w:rPr>
            </w:pPr>
            <w:r w:rsidRPr="004A7EDA">
              <w:rPr>
                <w:lang w:val="en-GB"/>
              </w:rPr>
              <w:t>-20.0%</w:t>
            </w:r>
          </w:p>
        </w:tc>
        <w:tc>
          <w:tcPr>
            <w:tcW w:w="1024" w:type="dxa"/>
            <w:shd w:val="clear" w:color="auto" w:fill="auto"/>
            <w:tcMar>
              <w:top w:w="113" w:type="dxa"/>
              <w:left w:w="28" w:type="dxa"/>
              <w:bottom w:w="113" w:type="dxa"/>
              <w:right w:w="28" w:type="dxa"/>
            </w:tcMar>
          </w:tcPr>
          <w:p w14:paraId="0BBB36EE" w14:textId="7D399283" w:rsidR="004A7EDA" w:rsidRPr="004A7EDA" w:rsidRDefault="00BE1D1E" w:rsidP="00286AE3">
            <w:pPr>
              <w:pStyle w:val="TableCopy"/>
              <w:rPr>
                <w:lang w:val="en-GB"/>
              </w:rPr>
            </w:pPr>
            <w:r>
              <w:rPr>
                <w:lang w:val="en-GB"/>
              </w:rPr>
              <w:t>#</w:t>
            </w:r>
          </w:p>
        </w:tc>
      </w:tr>
      <w:tr w:rsidR="004A7EDA" w:rsidRPr="004A7EDA" w14:paraId="0FBB65F3" w14:textId="77777777" w:rsidTr="0041342C">
        <w:trPr>
          <w:trHeight w:val="113"/>
        </w:trPr>
        <w:tc>
          <w:tcPr>
            <w:tcW w:w="10206" w:type="dxa"/>
            <w:gridSpan w:val="6"/>
            <w:shd w:val="clear" w:color="auto" w:fill="auto"/>
            <w:tcMar>
              <w:top w:w="113" w:type="dxa"/>
              <w:left w:w="113" w:type="dxa"/>
              <w:bottom w:w="113" w:type="dxa"/>
              <w:right w:w="113" w:type="dxa"/>
            </w:tcMar>
          </w:tcPr>
          <w:p w14:paraId="5ED0EA5A" w14:textId="77777777" w:rsidR="004A7EDA" w:rsidRPr="004A7EDA" w:rsidRDefault="004A7EDA" w:rsidP="00286AE3">
            <w:pPr>
              <w:pStyle w:val="TableCopy"/>
            </w:pPr>
            <w:r w:rsidRPr="004A7EDA">
              <w:t xml:space="preserve">Lower result due to redirection of staff to Biosecurity emergencies, Whole of Victorian Government response to COVID-19, and COVID-19 public health restrictions to service delivery. </w:t>
            </w:r>
          </w:p>
        </w:tc>
      </w:tr>
      <w:tr w:rsidR="004A7EDA" w:rsidRPr="004A7EDA" w14:paraId="2616A0E2" w14:textId="77777777" w:rsidTr="00286AE3">
        <w:trPr>
          <w:trHeight w:val="113"/>
        </w:trPr>
        <w:tc>
          <w:tcPr>
            <w:tcW w:w="4743" w:type="dxa"/>
            <w:shd w:val="clear" w:color="auto" w:fill="auto"/>
            <w:tcMar>
              <w:top w:w="113" w:type="dxa"/>
              <w:left w:w="28" w:type="dxa"/>
              <w:bottom w:w="113" w:type="dxa"/>
              <w:right w:w="28" w:type="dxa"/>
            </w:tcMar>
          </w:tcPr>
          <w:p w14:paraId="2342DA4B" w14:textId="77777777" w:rsidR="004A7EDA" w:rsidRPr="004A7EDA" w:rsidRDefault="004A7EDA" w:rsidP="00286AE3">
            <w:pPr>
              <w:pStyle w:val="TableCopy"/>
              <w:rPr>
                <w:lang w:val="en-GB"/>
              </w:rPr>
            </w:pPr>
            <w:r w:rsidRPr="004A7EDA">
              <w:rPr>
                <w:lang w:val="en-GB"/>
              </w:rPr>
              <w:t>Clients engaged with agriculture services</w:t>
            </w:r>
          </w:p>
        </w:tc>
        <w:tc>
          <w:tcPr>
            <w:tcW w:w="1020" w:type="dxa"/>
            <w:shd w:val="clear" w:color="auto" w:fill="auto"/>
            <w:tcMar>
              <w:top w:w="113" w:type="dxa"/>
              <w:left w:w="28" w:type="dxa"/>
              <w:bottom w:w="113" w:type="dxa"/>
              <w:right w:w="28" w:type="dxa"/>
            </w:tcMar>
          </w:tcPr>
          <w:p w14:paraId="56BD3FDE"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35481292" w14:textId="77777777" w:rsidR="004A7EDA" w:rsidRPr="004A7EDA" w:rsidRDefault="004A7EDA" w:rsidP="00286AE3">
            <w:pPr>
              <w:pStyle w:val="TableCopy"/>
              <w:rPr>
                <w:lang w:val="en-GB"/>
              </w:rPr>
            </w:pPr>
            <w:r w:rsidRPr="004A7EDA">
              <w:rPr>
                <w:lang w:val="en-GB"/>
              </w:rPr>
              <w:t>3,456</w:t>
            </w:r>
          </w:p>
        </w:tc>
        <w:tc>
          <w:tcPr>
            <w:tcW w:w="1020" w:type="dxa"/>
            <w:shd w:val="clear" w:color="auto" w:fill="auto"/>
            <w:tcMar>
              <w:top w:w="113" w:type="dxa"/>
              <w:left w:w="28" w:type="dxa"/>
              <w:bottom w:w="113" w:type="dxa"/>
              <w:right w:w="28" w:type="dxa"/>
            </w:tcMar>
          </w:tcPr>
          <w:p w14:paraId="28FD4C99" w14:textId="77777777" w:rsidR="004A7EDA" w:rsidRPr="004A7EDA" w:rsidRDefault="004A7EDA" w:rsidP="00286AE3">
            <w:pPr>
              <w:pStyle w:val="TableCopy"/>
              <w:rPr>
                <w:lang w:val="en-GB"/>
              </w:rPr>
            </w:pPr>
            <w:r w:rsidRPr="004A7EDA">
              <w:rPr>
                <w:lang w:val="en-GB"/>
              </w:rPr>
              <w:t>4,300</w:t>
            </w:r>
          </w:p>
        </w:tc>
        <w:tc>
          <w:tcPr>
            <w:tcW w:w="1380" w:type="dxa"/>
            <w:shd w:val="clear" w:color="auto" w:fill="auto"/>
            <w:tcMar>
              <w:top w:w="113" w:type="dxa"/>
              <w:left w:w="28" w:type="dxa"/>
              <w:bottom w:w="113" w:type="dxa"/>
              <w:right w:w="28" w:type="dxa"/>
            </w:tcMar>
          </w:tcPr>
          <w:p w14:paraId="18705018" w14:textId="77777777" w:rsidR="004A7EDA" w:rsidRPr="004A7EDA" w:rsidRDefault="004A7EDA" w:rsidP="00286AE3">
            <w:pPr>
              <w:pStyle w:val="TableCopy"/>
              <w:rPr>
                <w:lang w:val="en-GB"/>
              </w:rPr>
            </w:pPr>
            <w:r w:rsidRPr="004A7EDA">
              <w:rPr>
                <w:lang w:val="en-GB"/>
              </w:rPr>
              <w:t>-19.6%</w:t>
            </w:r>
          </w:p>
        </w:tc>
        <w:tc>
          <w:tcPr>
            <w:tcW w:w="1024" w:type="dxa"/>
            <w:shd w:val="clear" w:color="auto" w:fill="auto"/>
            <w:tcMar>
              <w:top w:w="113" w:type="dxa"/>
              <w:left w:w="28" w:type="dxa"/>
              <w:bottom w:w="113" w:type="dxa"/>
              <w:right w:w="28" w:type="dxa"/>
            </w:tcMar>
          </w:tcPr>
          <w:p w14:paraId="27BD5946" w14:textId="2B6FA944" w:rsidR="004A7EDA" w:rsidRPr="004A7EDA" w:rsidRDefault="00BE1D1E" w:rsidP="00286AE3">
            <w:pPr>
              <w:pStyle w:val="TableCopy"/>
              <w:rPr>
                <w:lang w:val="en-GB"/>
              </w:rPr>
            </w:pPr>
            <w:r>
              <w:rPr>
                <w:lang w:val="en-GB"/>
              </w:rPr>
              <w:t>#</w:t>
            </w:r>
          </w:p>
        </w:tc>
      </w:tr>
      <w:tr w:rsidR="004A7EDA" w:rsidRPr="004A7EDA" w14:paraId="617CE0AB" w14:textId="77777777" w:rsidTr="0041342C">
        <w:trPr>
          <w:trHeight w:val="113"/>
        </w:trPr>
        <w:tc>
          <w:tcPr>
            <w:tcW w:w="10206" w:type="dxa"/>
            <w:gridSpan w:val="6"/>
            <w:shd w:val="clear" w:color="auto" w:fill="auto"/>
            <w:tcMar>
              <w:top w:w="113" w:type="dxa"/>
              <w:left w:w="113" w:type="dxa"/>
              <w:bottom w:w="113" w:type="dxa"/>
              <w:right w:w="113" w:type="dxa"/>
            </w:tcMar>
          </w:tcPr>
          <w:p w14:paraId="4D26B865" w14:textId="77777777" w:rsidR="004A7EDA" w:rsidRPr="004A7EDA" w:rsidRDefault="004A7EDA" w:rsidP="00286AE3">
            <w:pPr>
              <w:pStyle w:val="TableCopy"/>
            </w:pPr>
            <w:r w:rsidRPr="004A7EDA">
              <w:t xml:space="preserve">Lower result due to redirection of staff to Biosecurity emergencies, Whole of Victorian Government response to COVID-19, and COVID-19 public health restrictions impact to service delivery. </w:t>
            </w:r>
          </w:p>
        </w:tc>
      </w:tr>
      <w:tr w:rsidR="004A7EDA" w:rsidRPr="004A7EDA" w14:paraId="6AAF021A" w14:textId="77777777" w:rsidTr="00286AE3">
        <w:trPr>
          <w:trHeight w:val="113"/>
        </w:trPr>
        <w:tc>
          <w:tcPr>
            <w:tcW w:w="4743" w:type="dxa"/>
            <w:shd w:val="clear" w:color="auto" w:fill="auto"/>
            <w:tcMar>
              <w:top w:w="113" w:type="dxa"/>
              <w:left w:w="28" w:type="dxa"/>
              <w:bottom w:w="113" w:type="dxa"/>
              <w:right w:w="28" w:type="dxa"/>
            </w:tcMar>
          </w:tcPr>
          <w:p w14:paraId="0EC3E221" w14:textId="77777777" w:rsidR="004A7EDA" w:rsidRPr="004A7EDA" w:rsidRDefault="004A7EDA" w:rsidP="00286AE3">
            <w:pPr>
              <w:pStyle w:val="TableCopy"/>
              <w:rPr>
                <w:lang w:val="en-GB"/>
              </w:rPr>
            </w:pPr>
            <w:r w:rsidRPr="004A7EDA">
              <w:rPr>
                <w:lang w:val="en-GB"/>
              </w:rPr>
              <w:t>Improved agricultural services, programs and products developed</w:t>
            </w:r>
          </w:p>
        </w:tc>
        <w:tc>
          <w:tcPr>
            <w:tcW w:w="1020" w:type="dxa"/>
            <w:shd w:val="clear" w:color="auto" w:fill="auto"/>
            <w:tcMar>
              <w:top w:w="113" w:type="dxa"/>
              <w:left w:w="28" w:type="dxa"/>
              <w:bottom w:w="113" w:type="dxa"/>
              <w:right w:w="28" w:type="dxa"/>
            </w:tcMar>
          </w:tcPr>
          <w:p w14:paraId="0BC6D5F2"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660A631A" w14:textId="77777777" w:rsidR="004A7EDA" w:rsidRPr="004A7EDA" w:rsidRDefault="004A7EDA" w:rsidP="00286AE3">
            <w:pPr>
              <w:pStyle w:val="TableCopy"/>
              <w:rPr>
                <w:lang w:val="en-GB"/>
              </w:rPr>
            </w:pPr>
            <w:r w:rsidRPr="004A7EDA">
              <w:rPr>
                <w:lang w:val="en-GB"/>
              </w:rPr>
              <w:t>10</w:t>
            </w:r>
          </w:p>
        </w:tc>
        <w:tc>
          <w:tcPr>
            <w:tcW w:w="1020" w:type="dxa"/>
            <w:shd w:val="clear" w:color="auto" w:fill="auto"/>
            <w:tcMar>
              <w:top w:w="113" w:type="dxa"/>
              <w:left w:w="28" w:type="dxa"/>
              <w:bottom w:w="113" w:type="dxa"/>
              <w:right w:w="28" w:type="dxa"/>
            </w:tcMar>
          </w:tcPr>
          <w:p w14:paraId="3788D382" w14:textId="77777777" w:rsidR="004A7EDA" w:rsidRPr="004A7EDA" w:rsidRDefault="004A7EDA" w:rsidP="00286AE3">
            <w:pPr>
              <w:pStyle w:val="TableCopy"/>
              <w:rPr>
                <w:lang w:val="en-GB"/>
              </w:rPr>
            </w:pPr>
            <w:r w:rsidRPr="004A7EDA">
              <w:rPr>
                <w:lang w:val="en-GB"/>
              </w:rPr>
              <w:t>10</w:t>
            </w:r>
          </w:p>
        </w:tc>
        <w:tc>
          <w:tcPr>
            <w:tcW w:w="1380" w:type="dxa"/>
            <w:shd w:val="clear" w:color="auto" w:fill="auto"/>
            <w:tcMar>
              <w:top w:w="113" w:type="dxa"/>
              <w:left w:w="28" w:type="dxa"/>
              <w:bottom w:w="113" w:type="dxa"/>
              <w:right w:w="28" w:type="dxa"/>
            </w:tcMar>
          </w:tcPr>
          <w:p w14:paraId="1726EDC2"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4B7BE28C" w14:textId="2AB2F355" w:rsidR="004A7EDA" w:rsidRPr="004A7EDA" w:rsidRDefault="00BE1D1E" w:rsidP="00286AE3">
            <w:pPr>
              <w:pStyle w:val="TableCopy"/>
              <w:rPr>
                <w:lang w:val="en-GB"/>
              </w:rPr>
            </w:pPr>
            <w:r>
              <w:rPr>
                <w:lang w:val="en-GB"/>
              </w:rPr>
              <w:t>*</w:t>
            </w:r>
          </w:p>
        </w:tc>
      </w:tr>
      <w:tr w:rsidR="004A7EDA" w:rsidRPr="004A7EDA" w14:paraId="0B4EF22D" w14:textId="77777777" w:rsidTr="00286AE3">
        <w:trPr>
          <w:trHeight w:val="113"/>
        </w:trPr>
        <w:tc>
          <w:tcPr>
            <w:tcW w:w="4743" w:type="dxa"/>
            <w:shd w:val="clear" w:color="auto" w:fill="auto"/>
            <w:tcMar>
              <w:top w:w="113" w:type="dxa"/>
              <w:left w:w="28" w:type="dxa"/>
              <w:bottom w:w="113" w:type="dxa"/>
              <w:right w:w="28" w:type="dxa"/>
            </w:tcMar>
          </w:tcPr>
          <w:p w14:paraId="56F09934" w14:textId="77777777" w:rsidR="004A7EDA" w:rsidRPr="004A7EDA" w:rsidRDefault="004A7EDA" w:rsidP="00286AE3">
            <w:pPr>
              <w:pStyle w:val="TableCopy"/>
              <w:rPr>
                <w:lang w:val="en-GB"/>
              </w:rPr>
            </w:pPr>
            <w:r w:rsidRPr="004A7EDA">
              <w:rPr>
                <w:lang w:val="en-GB"/>
              </w:rPr>
              <w:t>Known state prohibited weed sites monitored and treated in line with the relevant weed action plan</w:t>
            </w:r>
          </w:p>
        </w:tc>
        <w:tc>
          <w:tcPr>
            <w:tcW w:w="1020" w:type="dxa"/>
            <w:shd w:val="clear" w:color="auto" w:fill="auto"/>
            <w:tcMar>
              <w:top w:w="113" w:type="dxa"/>
              <w:left w:w="28" w:type="dxa"/>
              <w:bottom w:w="113" w:type="dxa"/>
              <w:right w:w="28" w:type="dxa"/>
            </w:tcMar>
          </w:tcPr>
          <w:p w14:paraId="67324019"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0DD1E19E" w14:textId="77777777" w:rsidR="004A7EDA" w:rsidRPr="004A7EDA" w:rsidRDefault="004A7EDA" w:rsidP="00286AE3">
            <w:pPr>
              <w:pStyle w:val="TableCopy"/>
              <w:rPr>
                <w:lang w:val="en-GB"/>
              </w:rPr>
            </w:pPr>
            <w:r w:rsidRPr="004A7EDA">
              <w:rPr>
                <w:lang w:val="en-GB"/>
              </w:rPr>
              <w:t>95</w:t>
            </w:r>
          </w:p>
        </w:tc>
        <w:tc>
          <w:tcPr>
            <w:tcW w:w="1020" w:type="dxa"/>
            <w:shd w:val="clear" w:color="auto" w:fill="auto"/>
            <w:tcMar>
              <w:top w:w="113" w:type="dxa"/>
              <w:left w:w="28" w:type="dxa"/>
              <w:bottom w:w="113" w:type="dxa"/>
              <w:right w:w="28" w:type="dxa"/>
            </w:tcMar>
          </w:tcPr>
          <w:p w14:paraId="47C91867" w14:textId="77777777" w:rsidR="004A7EDA" w:rsidRPr="004A7EDA" w:rsidRDefault="004A7EDA" w:rsidP="00286AE3">
            <w:pPr>
              <w:pStyle w:val="TableCopy"/>
              <w:rPr>
                <w:lang w:val="en-GB"/>
              </w:rPr>
            </w:pPr>
            <w:r w:rsidRPr="004A7EDA">
              <w:rPr>
                <w:lang w:val="en-GB"/>
              </w:rPr>
              <w:t>95</w:t>
            </w:r>
          </w:p>
        </w:tc>
        <w:tc>
          <w:tcPr>
            <w:tcW w:w="1380" w:type="dxa"/>
            <w:shd w:val="clear" w:color="auto" w:fill="auto"/>
            <w:tcMar>
              <w:top w:w="113" w:type="dxa"/>
              <w:left w:w="28" w:type="dxa"/>
              <w:bottom w:w="113" w:type="dxa"/>
              <w:right w:w="28" w:type="dxa"/>
            </w:tcMar>
          </w:tcPr>
          <w:p w14:paraId="08BA157E"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65D72FBA" w14:textId="26AE170C" w:rsidR="004A7EDA" w:rsidRPr="004A7EDA" w:rsidRDefault="00BE1D1E" w:rsidP="00286AE3">
            <w:pPr>
              <w:pStyle w:val="TableCopy"/>
              <w:rPr>
                <w:lang w:val="en-GB"/>
              </w:rPr>
            </w:pPr>
            <w:r>
              <w:rPr>
                <w:lang w:val="en-GB"/>
              </w:rPr>
              <w:t>*</w:t>
            </w:r>
          </w:p>
        </w:tc>
      </w:tr>
      <w:tr w:rsidR="004A7EDA" w:rsidRPr="004A7EDA" w14:paraId="6EEB19ED" w14:textId="77777777" w:rsidTr="00286AE3">
        <w:trPr>
          <w:trHeight w:val="113"/>
        </w:trPr>
        <w:tc>
          <w:tcPr>
            <w:tcW w:w="4743" w:type="dxa"/>
            <w:shd w:val="clear" w:color="auto" w:fill="auto"/>
            <w:tcMar>
              <w:top w:w="113" w:type="dxa"/>
              <w:left w:w="28" w:type="dxa"/>
              <w:bottom w:w="113" w:type="dxa"/>
              <w:right w:w="28" w:type="dxa"/>
            </w:tcMar>
          </w:tcPr>
          <w:p w14:paraId="6EAD68A2" w14:textId="77777777" w:rsidR="004A7EDA" w:rsidRPr="004A7EDA" w:rsidRDefault="004A7EDA" w:rsidP="00286AE3">
            <w:pPr>
              <w:pStyle w:val="TableCopy"/>
              <w:rPr>
                <w:lang w:val="en-GB"/>
              </w:rPr>
            </w:pPr>
            <w:r w:rsidRPr="004A7EDA">
              <w:rPr>
                <w:lang w:val="en-GB"/>
              </w:rPr>
              <w:t>New or amended Interstate Certificate Assurance (ICA) or other market access accreditations developed</w:t>
            </w:r>
            <w:r w:rsidRPr="004A7EDA">
              <w:rPr>
                <w:lang w:val="en-GB"/>
              </w:rPr>
              <w:br/>
              <w:t>to restore or enable trade</w:t>
            </w:r>
          </w:p>
        </w:tc>
        <w:tc>
          <w:tcPr>
            <w:tcW w:w="1020" w:type="dxa"/>
            <w:shd w:val="clear" w:color="auto" w:fill="auto"/>
            <w:tcMar>
              <w:top w:w="113" w:type="dxa"/>
              <w:left w:w="28" w:type="dxa"/>
              <w:bottom w:w="113" w:type="dxa"/>
              <w:right w:w="28" w:type="dxa"/>
            </w:tcMar>
          </w:tcPr>
          <w:p w14:paraId="0D940936"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033227ED" w14:textId="77777777" w:rsidR="004A7EDA" w:rsidRPr="004A7EDA" w:rsidRDefault="004A7EDA" w:rsidP="00286AE3">
            <w:pPr>
              <w:pStyle w:val="TableCopy"/>
              <w:rPr>
                <w:lang w:val="en-GB"/>
              </w:rPr>
            </w:pPr>
            <w:r w:rsidRPr="004A7EDA">
              <w:rPr>
                <w:lang w:val="en-GB"/>
              </w:rPr>
              <w:t>5</w:t>
            </w:r>
          </w:p>
        </w:tc>
        <w:tc>
          <w:tcPr>
            <w:tcW w:w="1020" w:type="dxa"/>
            <w:shd w:val="clear" w:color="auto" w:fill="auto"/>
            <w:tcMar>
              <w:top w:w="113" w:type="dxa"/>
              <w:left w:w="28" w:type="dxa"/>
              <w:bottom w:w="113" w:type="dxa"/>
              <w:right w:w="28" w:type="dxa"/>
            </w:tcMar>
          </w:tcPr>
          <w:p w14:paraId="36325144" w14:textId="77777777" w:rsidR="004A7EDA" w:rsidRPr="004A7EDA" w:rsidRDefault="004A7EDA" w:rsidP="00286AE3">
            <w:pPr>
              <w:pStyle w:val="TableCopy"/>
              <w:rPr>
                <w:lang w:val="en-GB"/>
              </w:rPr>
            </w:pPr>
            <w:r w:rsidRPr="004A7EDA">
              <w:rPr>
                <w:lang w:val="en-GB"/>
              </w:rPr>
              <w:t>2</w:t>
            </w:r>
          </w:p>
        </w:tc>
        <w:tc>
          <w:tcPr>
            <w:tcW w:w="1380" w:type="dxa"/>
            <w:shd w:val="clear" w:color="auto" w:fill="auto"/>
            <w:tcMar>
              <w:top w:w="113" w:type="dxa"/>
              <w:left w:w="28" w:type="dxa"/>
              <w:bottom w:w="113" w:type="dxa"/>
              <w:right w:w="28" w:type="dxa"/>
            </w:tcMar>
          </w:tcPr>
          <w:p w14:paraId="436470F3" w14:textId="77777777" w:rsidR="004A7EDA" w:rsidRPr="004A7EDA" w:rsidRDefault="004A7EDA" w:rsidP="00286AE3">
            <w:pPr>
              <w:pStyle w:val="TableCopy"/>
              <w:rPr>
                <w:lang w:val="en-GB"/>
              </w:rPr>
            </w:pPr>
            <w:r w:rsidRPr="004A7EDA">
              <w:rPr>
                <w:lang w:val="en-GB"/>
              </w:rPr>
              <w:t>150.0%</w:t>
            </w:r>
          </w:p>
        </w:tc>
        <w:tc>
          <w:tcPr>
            <w:tcW w:w="1024" w:type="dxa"/>
            <w:shd w:val="clear" w:color="auto" w:fill="auto"/>
            <w:tcMar>
              <w:top w:w="113" w:type="dxa"/>
              <w:left w:w="28" w:type="dxa"/>
              <w:bottom w:w="113" w:type="dxa"/>
              <w:right w:w="28" w:type="dxa"/>
            </w:tcMar>
          </w:tcPr>
          <w:p w14:paraId="7F4E038C" w14:textId="2A8DF7ED" w:rsidR="004A7EDA" w:rsidRPr="004A7EDA" w:rsidRDefault="00BE1D1E" w:rsidP="00286AE3">
            <w:pPr>
              <w:pStyle w:val="TableCopy"/>
              <w:rPr>
                <w:lang w:val="en-GB"/>
              </w:rPr>
            </w:pPr>
            <w:r>
              <w:rPr>
                <w:lang w:val="en-GB"/>
              </w:rPr>
              <w:t>*</w:t>
            </w:r>
          </w:p>
        </w:tc>
      </w:tr>
      <w:tr w:rsidR="004A7EDA" w:rsidRPr="004A7EDA" w14:paraId="7D8CFA07" w14:textId="77777777" w:rsidTr="0041342C">
        <w:trPr>
          <w:trHeight w:val="113"/>
        </w:trPr>
        <w:tc>
          <w:tcPr>
            <w:tcW w:w="10206" w:type="dxa"/>
            <w:gridSpan w:val="6"/>
            <w:shd w:val="clear" w:color="auto" w:fill="auto"/>
            <w:tcMar>
              <w:top w:w="113" w:type="dxa"/>
              <w:left w:w="113" w:type="dxa"/>
              <w:bottom w:w="113" w:type="dxa"/>
              <w:right w:w="113" w:type="dxa"/>
            </w:tcMar>
          </w:tcPr>
          <w:p w14:paraId="4C4E93E8" w14:textId="77777777" w:rsidR="004A7EDA" w:rsidRPr="004A7EDA" w:rsidRDefault="004A7EDA" w:rsidP="00286AE3">
            <w:pPr>
              <w:pStyle w:val="TableCopy"/>
            </w:pPr>
            <w:r w:rsidRPr="004A7EDA">
              <w:t>Higher result due to external factors that are not directly influenced by the department. This includes changes to requirements of other jurisdictions, chemical use patterns, industry demand, and in response to new pest and/or disease incursions.</w:t>
            </w:r>
          </w:p>
        </w:tc>
      </w:tr>
      <w:tr w:rsidR="004A7EDA" w:rsidRPr="004A7EDA" w14:paraId="5D52C2A4" w14:textId="77777777" w:rsidTr="00286AE3">
        <w:trPr>
          <w:trHeight w:val="113"/>
        </w:trPr>
        <w:tc>
          <w:tcPr>
            <w:tcW w:w="4743" w:type="dxa"/>
            <w:shd w:val="clear" w:color="auto" w:fill="auto"/>
            <w:tcMar>
              <w:top w:w="113" w:type="dxa"/>
              <w:left w:w="28" w:type="dxa"/>
              <w:bottom w:w="113" w:type="dxa"/>
              <w:right w:w="28" w:type="dxa"/>
            </w:tcMar>
          </w:tcPr>
          <w:p w14:paraId="2460DB13" w14:textId="77777777" w:rsidR="004A7EDA" w:rsidRPr="004A7EDA" w:rsidRDefault="004A7EDA" w:rsidP="00286AE3">
            <w:pPr>
              <w:pStyle w:val="TableCopy"/>
              <w:rPr>
                <w:lang w:val="en-GB"/>
              </w:rPr>
            </w:pPr>
            <w:r w:rsidRPr="004A7EDA">
              <w:rPr>
                <w:lang w:val="en-GB"/>
              </w:rPr>
              <w:t>Plant pest, disease and residue control programs maintained to ensure Victorian agricultural produce complies with food safety and biosecurity standards required to access markets</w:t>
            </w:r>
          </w:p>
        </w:tc>
        <w:tc>
          <w:tcPr>
            <w:tcW w:w="1020" w:type="dxa"/>
            <w:shd w:val="clear" w:color="auto" w:fill="auto"/>
            <w:tcMar>
              <w:top w:w="113" w:type="dxa"/>
              <w:left w:w="28" w:type="dxa"/>
              <w:bottom w:w="113" w:type="dxa"/>
              <w:right w:w="28" w:type="dxa"/>
            </w:tcMar>
          </w:tcPr>
          <w:p w14:paraId="32C13D8C"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3A62EEF0" w14:textId="77777777" w:rsidR="004A7EDA" w:rsidRPr="004A7EDA" w:rsidRDefault="004A7EDA" w:rsidP="00286AE3">
            <w:pPr>
              <w:pStyle w:val="TableCopy"/>
              <w:rPr>
                <w:lang w:val="en-GB"/>
              </w:rPr>
            </w:pPr>
            <w:r w:rsidRPr="004A7EDA">
              <w:rPr>
                <w:lang w:val="en-GB"/>
              </w:rPr>
              <w:t>6</w:t>
            </w:r>
          </w:p>
        </w:tc>
        <w:tc>
          <w:tcPr>
            <w:tcW w:w="1020" w:type="dxa"/>
            <w:shd w:val="clear" w:color="auto" w:fill="auto"/>
            <w:tcMar>
              <w:top w:w="113" w:type="dxa"/>
              <w:left w:w="28" w:type="dxa"/>
              <w:bottom w:w="113" w:type="dxa"/>
              <w:right w:w="28" w:type="dxa"/>
            </w:tcMar>
          </w:tcPr>
          <w:p w14:paraId="0075472E" w14:textId="77777777" w:rsidR="004A7EDA" w:rsidRPr="004A7EDA" w:rsidRDefault="004A7EDA" w:rsidP="00286AE3">
            <w:pPr>
              <w:pStyle w:val="TableCopy"/>
              <w:rPr>
                <w:lang w:val="en-GB"/>
              </w:rPr>
            </w:pPr>
            <w:r w:rsidRPr="004A7EDA">
              <w:rPr>
                <w:lang w:val="en-GB"/>
              </w:rPr>
              <w:t>6</w:t>
            </w:r>
          </w:p>
        </w:tc>
        <w:tc>
          <w:tcPr>
            <w:tcW w:w="1380" w:type="dxa"/>
            <w:shd w:val="clear" w:color="auto" w:fill="auto"/>
            <w:tcMar>
              <w:top w:w="113" w:type="dxa"/>
              <w:left w:w="28" w:type="dxa"/>
              <w:bottom w:w="113" w:type="dxa"/>
              <w:right w:w="28" w:type="dxa"/>
            </w:tcMar>
          </w:tcPr>
          <w:p w14:paraId="2E3868F5"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451F5027" w14:textId="4DFBB336" w:rsidR="004A7EDA" w:rsidRPr="004A7EDA" w:rsidRDefault="00BE1D1E" w:rsidP="00286AE3">
            <w:pPr>
              <w:pStyle w:val="TableCopy"/>
              <w:rPr>
                <w:lang w:val="en-GB"/>
              </w:rPr>
            </w:pPr>
            <w:r>
              <w:rPr>
                <w:lang w:val="en-GB"/>
              </w:rPr>
              <w:t>*</w:t>
            </w:r>
          </w:p>
        </w:tc>
      </w:tr>
      <w:tr w:rsidR="004A7EDA" w:rsidRPr="004A7EDA" w14:paraId="4D59FD3B" w14:textId="77777777" w:rsidTr="00286AE3">
        <w:trPr>
          <w:trHeight w:val="113"/>
        </w:trPr>
        <w:tc>
          <w:tcPr>
            <w:tcW w:w="4743" w:type="dxa"/>
            <w:shd w:val="clear" w:color="auto" w:fill="auto"/>
            <w:tcMar>
              <w:top w:w="113" w:type="dxa"/>
              <w:left w:w="28" w:type="dxa"/>
              <w:bottom w:w="113" w:type="dxa"/>
              <w:right w:w="28" w:type="dxa"/>
            </w:tcMar>
          </w:tcPr>
          <w:p w14:paraId="4B020743" w14:textId="77777777" w:rsidR="004A7EDA" w:rsidRPr="004A7EDA" w:rsidRDefault="004A7EDA" w:rsidP="00286AE3">
            <w:pPr>
              <w:pStyle w:val="TableCopy"/>
              <w:rPr>
                <w:lang w:val="en-GB"/>
              </w:rPr>
            </w:pPr>
            <w:r w:rsidRPr="004A7EDA">
              <w:rPr>
                <w:lang w:val="en-GB"/>
              </w:rPr>
              <w:t>Properties inspected for invasive plant and animal priority species</w:t>
            </w:r>
          </w:p>
        </w:tc>
        <w:tc>
          <w:tcPr>
            <w:tcW w:w="1020" w:type="dxa"/>
            <w:shd w:val="clear" w:color="auto" w:fill="auto"/>
            <w:tcMar>
              <w:top w:w="113" w:type="dxa"/>
              <w:left w:w="28" w:type="dxa"/>
              <w:bottom w:w="113" w:type="dxa"/>
              <w:right w:w="28" w:type="dxa"/>
            </w:tcMar>
          </w:tcPr>
          <w:p w14:paraId="27DD6E95"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74E80A6A" w14:textId="77777777" w:rsidR="004A7EDA" w:rsidRPr="004A7EDA" w:rsidRDefault="004A7EDA" w:rsidP="00286AE3">
            <w:pPr>
              <w:pStyle w:val="TableCopy"/>
              <w:rPr>
                <w:lang w:val="en-GB"/>
              </w:rPr>
            </w:pPr>
            <w:r w:rsidRPr="004A7EDA">
              <w:rPr>
                <w:lang w:val="en-GB"/>
              </w:rPr>
              <w:t>2,581</w:t>
            </w:r>
          </w:p>
        </w:tc>
        <w:tc>
          <w:tcPr>
            <w:tcW w:w="1020" w:type="dxa"/>
            <w:shd w:val="clear" w:color="auto" w:fill="auto"/>
            <w:tcMar>
              <w:top w:w="113" w:type="dxa"/>
              <w:left w:w="28" w:type="dxa"/>
              <w:bottom w:w="113" w:type="dxa"/>
              <w:right w:w="28" w:type="dxa"/>
            </w:tcMar>
          </w:tcPr>
          <w:p w14:paraId="04E47EDF" w14:textId="77777777" w:rsidR="004A7EDA" w:rsidRPr="004A7EDA" w:rsidRDefault="004A7EDA" w:rsidP="00286AE3">
            <w:pPr>
              <w:pStyle w:val="TableCopy"/>
              <w:rPr>
                <w:lang w:val="en-GB"/>
              </w:rPr>
            </w:pPr>
            <w:r w:rsidRPr="004A7EDA">
              <w:rPr>
                <w:lang w:val="en-GB"/>
              </w:rPr>
              <w:t>2,700</w:t>
            </w:r>
          </w:p>
        </w:tc>
        <w:tc>
          <w:tcPr>
            <w:tcW w:w="1380" w:type="dxa"/>
            <w:shd w:val="clear" w:color="auto" w:fill="auto"/>
            <w:tcMar>
              <w:top w:w="113" w:type="dxa"/>
              <w:left w:w="28" w:type="dxa"/>
              <w:bottom w:w="113" w:type="dxa"/>
              <w:right w:w="28" w:type="dxa"/>
            </w:tcMar>
          </w:tcPr>
          <w:p w14:paraId="4CE3D5F3" w14:textId="77777777" w:rsidR="004A7EDA" w:rsidRPr="004A7EDA" w:rsidRDefault="004A7EDA" w:rsidP="00286AE3">
            <w:pPr>
              <w:pStyle w:val="TableCopy"/>
              <w:rPr>
                <w:lang w:val="en-GB"/>
              </w:rPr>
            </w:pPr>
            <w:r w:rsidRPr="004A7EDA">
              <w:rPr>
                <w:lang w:val="en-GB"/>
              </w:rPr>
              <w:t>-4.4%</w:t>
            </w:r>
          </w:p>
        </w:tc>
        <w:tc>
          <w:tcPr>
            <w:tcW w:w="1024" w:type="dxa"/>
            <w:shd w:val="clear" w:color="auto" w:fill="auto"/>
            <w:tcMar>
              <w:top w:w="113" w:type="dxa"/>
              <w:left w:w="28" w:type="dxa"/>
              <w:bottom w:w="113" w:type="dxa"/>
              <w:right w:w="28" w:type="dxa"/>
            </w:tcMar>
          </w:tcPr>
          <w:p w14:paraId="5B93BA2B" w14:textId="75785820" w:rsidR="004A7EDA" w:rsidRPr="004A7EDA" w:rsidRDefault="00BE1D1E" w:rsidP="00286AE3">
            <w:pPr>
              <w:pStyle w:val="TableCopy"/>
              <w:rPr>
                <w:lang w:val="en-GB"/>
              </w:rPr>
            </w:pPr>
            <w:r>
              <w:rPr>
                <w:lang w:val="en-GB"/>
              </w:rPr>
              <w:t>–</w:t>
            </w:r>
          </w:p>
        </w:tc>
      </w:tr>
      <w:tr w:rsidR="004A7EDA" w:rsidRPr="004A2A4D" w14:paraId="178CEE2B" w14:textId="77777777" w:rsidTr="0041342C">
        <w:trPr>
          <w:trHeight w:val="113"/>
        </w:trPr>
        <w:tc>
          <w:tcPr>
            <w:tcW w:w="10206" w:type="dxa"/>
            <w:gridSpan w:val="6"/>
            <w:shd w:val="clear" w:color="auto" w:fill="auto"/>
            <w:tcMar>
              <w:top w:w="113" w:type="dxa"/>
              <w:left w:w="28" w:type="dxa"/>
              <w:bottom w:w="113" w:type="dxa"/>
              <w:right w:w="28" w:type="dxa"/>
            </w:tcMar>
          </w:tcPr>
          <w:p w14:paraId="105492B5" w14:textId="77777777" w:rsidR="004A7EDA" w:rsidRPr="004A2A4D" w:rsidRDefault="004A7EDA" w:rsidP="00286AE3">
            <w:pPr>
              <w:pStyle w:val="TableCopy"/>
            </w:pPr>
            <w:r w:rsidRPr="004A2A4D">
              <w:t>Quality</w:t>
            </w:r>
          </w:p>
        </w:tc>
      </w:tr>
      <w:tr w:rsidR="004A7EDA" w:rsidRPr="004A7EDA" w14:paraId="151A30DF" w14:textId="77777777" w:rsidTr="00286AE3">
        <w:trPr>
          <w:trHeight w:val="113"/>
        </w:trPr>
        <w:tc>
          <w:tcPr>
            <w:tcW w:w="4743" w:type="dxa"/>
            <w:shd w:val="clear" w:color="auto" w:fill="auto"/>
            <w:tcMar>
              <w:top w:w="113" w:type="dxa"/>
              <w:left w:w="28" w:type="dxa"/>
              <w:bottom w:w="113" w:type="dxa"/>
              <w:right w:w="28" w:type="dxa"/>
            </w:tcMar>
          </w:tcPr>
          <w:p w14:paraId="149994E1" w14:textId="77777777" w:rsidR="004A7EDA" w:rsidRPr="004A7EDA" w:rsidRDefault="004A7EDA" w:rsidP="00286AE3">
            <w:pPr>
              <w:pStyle w:val="TableCopy"/>
              <w:rPr>
                <w:lang w:val="en-GB"/>
              </w:rPr>
            </w:pPr>
            <w:r w:rsidRPr="004A7EDA">
              <w:rPr>
                <w:lang w:val="en-GB"/>
              </w:rPr>
              <w:t>Client satisfaction rating of agricultural services</w:t>
            </w:r>
          </w:p>
        </w:tc>
        <w:tc>
          <w:tcPr>
            <w:tcW w:w="1020" w:type="dxa"/>
            <w:shd w:val="clear" w:color="auto" w:fill="auto"/>
            <w:tcMar>
              <w:top w:w="113" w:type="dxa"/>
              <w:left w:w="28" w:type="dxa"/>
              <w:bottom w:w="113" w:type="dxa"/>
              <w:right w:w="28" w:type="dxa"/>
            </w:tcMar>
          </w:tcPr>
          <w:p w14:paraId="62F14A7C"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5DC37394" w14:textId="77777777" w:rsidR="004A7EDA" w:rsidRPr="004A7EDA" w:rsidRDefault="004A7EDA" w:rsidP="00286AE3">
            <w:pPr>
              <w:pStyle w:val="TableCopy"/>
              <w:rPr>
                <w:lang w:val="en-GB"/>
              </w:rPr>
            </w:pPr>
            <w:r w:rsidRPr="004A7EDA">
              <w:rPr>
                <w:lang w:val="en-GB"/>
              </w:rPr>
              <w:t>8.6</w:t>
            </w:r>
          </w:p>
        </w:tc>
        <w:tc>
          <w:tcPr>
            <w:tcW w:w="1020" w:type="dxa"/>
            <w:shd w:val="clear" w:color="auto" w:fill="auto"/>
            <w:tcMar>
              <w:top w:w="113" w:type="dxa"/>
              <w:left w:w="28" w:type="dxa"/>
              <w:bottom w:w="113" w:type="dxa"/>
              <w:right w:w="28" w:type="dxa"/>
            </w:tcMar>
          </w:tcPr>
          <w:p w14:paraId="2E35CA43" w14:textId="77777777" w:rsidR="004A7EDA" w:rsidRPr="004A7EDA" w:rsidRDefault="004A7EDA" w:rsidP="00286AE3">
            <w:pPr>
              <w:pStyle w:val="TableCopy"/>
              <w:rPr>
                <w:lang w:val="en-GB"/>
              </w:rPr>
            </w:pPr>
            <w:r w:rsidRPr="004A7EDA">
              <w:rPr>
                <w:lang w:val="en-GB"/>
              </w:rPr>
              <w:t>8</w:t>
            </w:r>
          </w:p>
        </w:tc>
        <w:tc>
          <w:tcPr>
            <w:tcW w:w="1380" w:type="dxa"/>
            <w:shd w:val="clear" w:color="auto" w:fill="auto"/>
            <w:tcMar>
              <w:top w:w="113" w:type="dxa"/>
              <w:left w:w="28" w:type="dxa"/>
              <w:bottom w:w="113" w:type="dxa"/>
              <w:right w:w="28" w:type="dxa"/>
            </w:tcMar>
          </w:tcPr>
          <w:p w14:paraId="609D297B" w14:textId="77777777" w:rsidR="004A7EDA" w:rsidRPr="004A7EDA" w:rsidRDefault="004A7EDA" w:rsidP="00286AE3">
            <w:pPr>
              <w:pStyle w:val="TableCopy"/>
              <w:rPr>
                <w:lang w:val="en-GB"/>
              </w:rPr>
            </w:pPr>
            <w:r w:rsidRPr="004A7EDA">
              <w:rPr>
                <w:lang w:val="en-GB"/>
              </w:rPr>
              <w:t>7.5%</w:t>
            </w:r>
          </w:p>
        </w:tc>
        <w:tc>
          <w:tcPr>
            <w:tcW w:w="1024" w:type="dxa"/>
            <w:shd w:val="clear" w:color="auto" w:fill="auto"/>
            <w:tcMar>
              <w:top w:w="113" w:type="dxa"/>
              <w:left w:w="28" w:type="dxa"/>
              <w:bottom w:w="113" w:type="dxa"/>
              <w:right w:w="28" w:type="dxa"/>
            </w:tcMar>
          </w:tcPr>
          <w:p w14:paraId="084D35EB" w14:textId="5B48F1D5" w:rsidR="004A7EDA" w:rsidRPr="004A7EDA" w:rsidRDefault="00BE1D1E" w:rsidP="00286AE3">
            <w:pPr>
              <w:pStyle w:val="TableCopy"/>
              <w:rPr>
                <w:lang w:val="en-GB"/>
              </w:rPr>
            </w:pPr>
            <w:r>
              <w:rPr>
                <w:lang w:val="en-GB"/>
              </w:rPr>
              <w:t>*</w:t>
            </w:r>
          </w:p>
        </w:tc>
      </w:tr>
      <w:tr w:rsidR="004A7EDA" w:rsidRPr="004A2A4D" w14:paraId="0A14E5EE" w14:textId="77777777" w:rsidTr="0041342C">
        <w:trPr>
          <w:trHeight w:val="113"/>
        </w:trPr>
        <w:tc>
          <w:tcPr>
            <w:tcW w:w="10206" w:type="dxa"/>
            <w:gridSpan w:val="6"/>
            <w:shd w:val="clear" w:color="auto" w:fill="auto"/>
            <w:tcMar>
              <w:top w:w="113" w:type="dxa"/>
              <w:left w:w="113" w:type="dxa"/>
              <w:bottom w:w="113" w:type="dxa"/>
              <w:right w:w="113" w:type="dxa"/>
            </w:tcMar>
          </w:tcPr>
          <w:p w14:paraId="28D18CD7" w14:textId="77777777" w:rsidR="004A7EDA" w:rsidRPr="004A2A4D" w:rsidRDefault="004A7EDA" w:rsidP="00286AE3">
            <w:pPr>
              <w:pStyle w:val="TableCopy"/>
            </w:pPr>
            <w:r w:rsidRPr="004A2A4D">
              <w:t>Higher result due to greater emphasis on the design of client-focused services.</w:t>
            </w:r>
          </w:p>
        </w:tc>
      </w:tr>
      <w:tr w:rsidR="004A7EDA" w:rsidRPr="004A7EDA" w14:paraId="7E8819A2" w14:textId="77777777" w:rsidTr="00286AE3">
        <w:trPr>
          <w:trHeight w:val="113"/>
        </w:trPr>
        <w:tc>
          <w:tcPr>
            <w:tcW w:w="4743" w:type="dxa"/>
            <w:shd w:val="clear" w:color="auto" w:fill="auto"/>
            <w:tcMar>
              <w:top w:w="113" w:type="dxa"/>
              <w:left w:w="28" w:type="dxa"/>
              <w:bottom w:w="113" w:type="dxa"/>
              <w:right w:w="28" w:type="dxa"/>
            </w:tcMar>
          </w:tcPr>
          <w:p w14:paraId="5EC59C6C" w14:textId="77777777" w:rsidR="004A7EDA" w:rsidRPr="004A7EDA" w:rsidRDefault="004A7EDA" w:rsidP="00286AE3">
            <w:pPr>
              <w:pStyle w:val="TableCopy"/>
              <w:rPr>
                <w:lang w:val="en-GB"/>
              </w:rPr>
            </w:pPr>
            <w:r w:rsidRPr="004A7EDA">
              <w:rPr>
                <w:lang w:val="en-GB"/>
              </w:rPr>
              <w:lastRenderedPageBreak/>
              <w:t>National biosecurity, agriculture/veterinary chemical use and animal welfare programs implemented</w:t>
            </w:r>
            <w:r w:rsidRPr="004A7EDA">
              <w:rPr>
                <w:lang w:val="en-GB"/>
              </w:rPr>
              <w:br/>
              <w:t>in accordance with agreed plans</w:t>
            </w:r>
          </w:p>
        </w:tc>
        <w:tc>
          <w:tcPr>
            <w:tcW w:w="1020" w:type="dxa"/>
            <w:shd w:val="clear" w:color="auto" w:fill="auto"/>
            <w:tcMar>
              <w:top w:w="113" w:type="dxa"/>
              <w:left w:w="28" w:type="dxa"/>
              <w:bottom w:w="113" w:type="dxa"/>
              <w:right w:w="28" w:type="dxa"/>
            </w:tcMar>
          </w:tcPr>
          <w:p w14:paraId="5E0EC794"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780B6BA1" w14:textId="77777777" w:rsidR="004A7EDA" w:rsidRPr="004A7EDA" w:rsidRDefault="004A7EDA" w:rsidP="00286AE3">
            <w:pPr>
              <w:pStyle w:val="TableCopy"/>
              <w:rPr>
                <w:lang w:val="en-GB"/>
              </w:rPr>
            </w:pPr>
            <w:r w:rsidRPr="004A7EDA">
              <w:rPr>
                <w:lang w:val="en-GB"/>
              </w:rPr>
              <w:t>100</w:t>
            </w:r>
          </w:p>
        </w:tc>
        <w:tc>
          <w:tcPr>
            <w:tcW w:w="1020" w:type="dxa"/>
            <w:shd w:val="clear" w:color="auto" w:fill="auto"/>
            <w:tcMar>
              <w:top w:w="113" w:type="dxa"/>
              <w:left w:w="28" w:type="dxa"/>
              <w:bottom w:w="113" w:type="dxa"/>
              <w:right w:w="28" w:type="dxa"/>
            </w:tcMar>
          </w:tcPr>
          <w:p w14:paraId="692CEAC9" w14:textId="77777777" w:rsidR="004A7EDA" w:rsidRPr="004A7EDA" w:rsidRDefault="004A7EDA" w:rsidP="00286AE3">
            <w:pPr>
              <w:pStyle w:val="TableCopy"/>
              <w:rPr>
                <w:lang w:val="en-GB"/>
              </w:rPr>
            </w:pPr>
            <w:r w:rsidRPr="004A7EDA">
              <w:rPr>
                <w:lang w:val="en-GB"/>
              </w:rPr>
              <w:t>95</w:t>
            </w:r>
          </w:p>
        </w:tc>
        <w:tc>
          <w:tcPr>
            <w:tcW w:w="1380" w:type="dxa"/>
            <w:shd w:val="clear" w:color="auto" w:fill="auto"/>
            <w:tcMar>
              <w:top w:w="113" w:type="dxa"/>
              <w:left w:w="28" w:type="dxa"/>
              <w:bottom w:w="113" w:type="dxa"/>
              <w:right w:w="28" w:type="dxa"/>
            </w:tcMar>
          </w:tcPr>
          <w:p w14:paraId="7B37FF0D" w14:textId="77777777" w:rsidR="004A7EDA" w:rsidRPr="004A7EDA" w:rsidRDefault="004A7EDA" w:rsidP="00286AE3">
            <w:pPr>
              <w:pStyle w:val="TableCopy"/>
              <w:rPr>
                <w:lang w:val="en-GB"/>
              </w:rPr>
            </w:pPr>
            <w:r w:rsidRPr="004A7EDA">
              <w:rPr>
                <w:lang w:val="en-GB"/>
              </w:rPr>
              <w:t>5.3%</w:t>
            </w:r>
          </w:p>
        </w:tc>
        <w:tc>
          <w:tcPr>
            <w:tcW w:w="1024" w:type="dxa"/>
            <w:shd w:val="clear" w:color="auto" w:fill="auto"/>
            <w:tcMar>
              <w:top w:w="113" w:type="dxa"/>
              <w:left w:w="28" w:type="dxa"/>
              <w:bottom w:w="113" w:type="dxa"/>
              <w:right w:w="28" w:type="dxa"/>
            </w:tcMar>
          </w:tcPr>
          <w:p w14:paraId="2E40945A" w14:textId="28F6EF90" w:rsidR="004A7EDA" w:rsidRPr="004A7EDA" w:rsidRDefault="00BE1D1E" w:rsidP="00286AE3">
            <w:pPr>
              <w:pStyle w:val="TableCopy"/>
              <w:rPr>
                <w:lang w:val="en-GB"/>
              </w:rPr>
            </w:pPr>
            <w:r>
              <w:rPr>
                <w:lang w:val="en-GB"/>
              </w:rPr>
              <w:t>*</w:t>
            </w:r>
          </w:p>
        </w:tc>
      </w:tr>
      <w:tr w:rsidR="004A7EDA" w:rsidRPr="004A7EDA" w14:paraId="783290E6" w14:textId="77777777" w:rsidTr="0041342C">
        <w:trPr>
          <w:trHeight w:val="113"/>
        </w:trPr>
        <w:tc>
          <w:tcPr>
            <w:tcW w:w="10206" w:type="dxa"/>
            <w:gridSpan w:val="6"/>
            <w:shd w:val="clear" w:color="auto" w:fill="auto"/>
            <w:tcMar>
              <w:top w:w="113" w:type="dxa"/>
              <w:left w:w="113" w:type="dxa"/>
              <w:bottom w:w="113" w:type="dxa"/>
              <w:right w:w="113" w:type="dxa"/>
            </w:tcMar>
          </w:tcPr>
          <w:p w14:paraId="464C4CFE" w14:textId="77777777" w:rsidR="004A7EDA" w:rsidRPr="004A7EDA" w:rsidRDefault="004A7EDA" w:rsidP="00286AE3">
            <w:pPr>
              <w:pStyle w:val="TableCopy"/>
            </w:pPr>
            <w:r w:rsidRPr="004A7EDA">
              <w:t>Higher result due to Victoria responding to all requests associated with national work programs (</w:t>
            </w:r>
            <w:proofErr w:type="gramStart"/>
            <w:r w:rsidRPr="004A7EDA">
              <w:t>i.e.</w:t>
            </w:r>
            <w:proofErr w:type="gramEnd"/>
            <w:r w:rsidRPr="004A7EDA">
              <w:t xml:space="preserve"> National Management Group, National Biosecurity Committee, Agriculture Ministers meeting, Agriculture Secretaries Committee). </w:t>
            </w:r>
          </w:p>
        </w:tc>
      </w:tr>
      <w:tr w:rsidR="004A7EDA" w:rsidRPr="004A7EDA" w14:paraId="4A95EB86" w14:textId="77777777" w:rsidTr="00286AE3">
        <w:trPr>
          <w:trHeight w:val="113"/>
        </w:trPr>
        <w:tc>
          <w:tcPr>
            <w:tcW w:w="4743" w:type="dxa"/>
            <w:shd w:val="clear" w:color="auto" w:fill="auto"/>
            <w:tcMar>
              <w:top w:w="113" w:type="dxa"/>
              <w:left w:w="28" w:type="dxa"/>
              <w:bottom w:w="113" w:type="dxa"/>
              <w:right w:w="28" w:type="dxa"/>
            </w:tcMar>
          </w:tcPr>
          <w:p w14:paraId="46EDC596" w14:textId="77777777" w:rsidR="004A7EDA" w:rsidRPr="004A7EDA" w:rsidRDefault="004A7EDA" w:rsidP="00286AE3">
            <w:pPr>
              <w:pStyle w:val="TableCopy"/>
              <w:rPr>
                <w:lang w:val="en-GB"/>
              </w:rPr>
            </w:pPr>
            <w:r w:rsidRPr="004A7EDA">
              <w:rPr>
                <w:lang w:val="en-GB"/>
              </w:rPr>
              <w:t>Preparedness activities implemented, in line</w:t>
            </w:r>
            <w:r w:rsidRPr="004A7EDA">
              <w:rPr>
                <w:lang w:val="en-GB"/>
              </w:rPr>
              <w:br/>
              <w:t>with agreed plans, to ensure response readiness</w:t>
            </w:r>
            <w:r w:rsidRPr="004A7EDA">
              <w:rPr>
                <w:lang w:val="en-GB"/>
              </w:rPr>
              <w:br/>
              <w:t>for emergency animal and plant pest, disease</w:t>
            </w:r>
            <w:r w:rsidRPr="004A7EDA">
              <w:rPr>
                <w:lang w:val="en-GB"/>
              </w:rPr>
              <w:br/>
              <w:t>and natural disaster incidents</w:t>
            </w:r>
          </w:p>
        </w:tc>
        <w:tc>
          <w:tcPr>
            <w:tcW w:w="1020" w:type="dxa"/>
            <w:shd w:val="clear" w:color="auto" w:fill="auto"/>
            <w:tcMar>
              <w:top w:w="113" w:type="dxa"/>
              <w:left w:w="28" w:type="dxa"/>
              <w:bottom w:w="113" w:type="dxa"/>
              <w:right w:w="28" w:type="dxa"/>
            </w:tcMar>
          </w:tcPr>
          <w:p w14:paraId="2AC1D30D"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68CA5F1B" w14:textId="77777777" w:rsidR="004A7EDA" w:rsidRPr="004A7EDA" w:rsidRDefault="004A7EDA" w:rsidP="00286AE3">
            <w:pPr>
              <w:pStyle w:val="TableCopy"/>
              <w:rPr>
                <w:lang w:val="en-GB"/>
              </w:rPr>
            </w:pPr>
            <w:r w:rsidRPr="004A7EDA">
              <w:rPr>
                <w:lang w:val="en-GB"/>
              </w:rPr>
              <w:t>86</w:t>
            </w:r>
          </w:p>
        </w:tc>
        <w:tc>
          <w:tcPr>
            <w:tcW w:w="1020" w:type="dxa"/>
            <w:shd w:val="clear" w:color="auto" w:fill="auto"/>
            <w:tcMar>
              <w:top w:w="113" w:type="dxa"/>
              <w:left w:w="28" w:type="dxa"/>
              <w:bottom w:w="113" w:type="dxa"/>
              <w:right w:w="28" w:type="dxa"/>
            </w:tcMar>
          </w:tcPr>
          <w:p w14:paraId="36AF704B" w14:textId="77777777" w:rsidR="004A7EDA" w:rsidRPr="004A7EDA" w:rsidRDefault="004A7EDA" w:rsidP="00286AE3">
            <w:pPr>
              <w:pStyle w:val="TableCopy"/>
              <w:rPr>
                <w:lang w:val="en-GB"/>
              </w:rPr>
            </w:pPr>
            <w:r w:rsidRPr="004A7EDA">
              <w:rPr>
                <w:lang w:val="en-GB"/>
              </w:rPr>
              <w:t>90</w:t>
            </w:r>
          </w:p>
        </w:tc>
        <w:tc>
          <w:tcPr>
            <w:tcW w:w="1380" w:type="dxa"/>
            <w:shd w:val="clear" w:color="auto" w:fill="auto"/>
            <w:tcMar>
              <w:top w:w="113" w:type="dxa"/>
              <w:left w:w="28" w:type="dxa"/>
              <w:bottom w:w="113" w:type="dxa"/>
              <w:right w:w="28" w:type="dxa"/>
            </w:tcMar>
          </w:tcPr>
          <w:p w14:paraId="0373ACCA" w14:textId="77777777" w:rsidR="004A7EDA" w:rsidRPr="004A7EDA" w:rsidRDefault="004A7EDA" w:rsidP="00286AE3">
            <w:pPr>
              <w:pStyle w:val="TableCopy"/>
              <w:rPr>
                <w:lang w:val="en-GB"/>
              </w:rPr>
            </w:pPr>
            <w:r w:rsidRPr="004A7EDA">
              <w:rPr>
                <w:lang w:val="en-GB"/>
              </w:rPr>
              <w:t>-4.4%</w:t>
            </w:r>
          </w:p>
        </w:tc>
        <w:tc>
          <w:tcPr>
            <w:tcW w:w="1024" w:type="dxa"/>
            <w:shd w:val="clear" w:color="auto" w:fill="auto"/>
            <w:tcMar>
              <w:top w:w="113" w:type="dxa"/>
              <w:left w:w="28" w:type="dxa"/>
              <w:bottom w:w="113" w:type="dxa"/>
              <w:right w:w="28" w:type="dxa"/>
            </w:tcMar>
          </w:tcPr>
          <w:p w14:paraId="07B87610" w14:textId="6DBE9B0C" w:rsidR="004A7EDA" w:rsidRPr="004A7EDA" w:rsidRDefault="00BE1D1E" w:rsidP="00286AE3">
            <w:pPr>
              <w:pStyle w:val="TableCopy"/>
              <w:rPr>
                <w:lang w:val="en-GB"/>
              </w:rPr>
            </w:pPr>
            <w:r>
              <w:rPr>
                <w:lang w:val="en-GB"/>
              </w:rPr>
              <w:t>–</w:t>
            </w:r>
          </w:p>
        </w:tc>
      </w:tr>
      <w:tr w:rsidR="004A7EDA" w:rsidRPr="004A7EDA" w14:paraId="6E2C6724" w14:textId="77777777" w:rsidTr="0041342C">
        <w:trPr>
          <w:trHeight w:val="113"/>
        </w:trPr>
        <w:tc>
          <w:tcPr>
            <w:tcW w:w="10206" w:type="dxa"/>
            <w:gridSpan w:val="6"/>
            <w:shd w:val="clear" w:color="auto" w:fill="auto"/>
            <w:tcMar>
              <w:top w:w="113" w:type="dxa"/>
              <w:left w:w="28" w:type="dxa"/>
              <w:bottom w:w="113" w:type="dxa"/>
              <w:right w:w="28" w:type="dxa"/>
            </w:tcMar>
          </w:tcPr>
          <w:p w14:paraId="747957DB" w14:textId="77777777" w:rsidR="004A7EDA" w:rsidRPr="004A7EDA" w:rsidRDefault="004A7EDA" w:rsidP="00286AE3">
            <w:pPr>
              <w:pStyle w:val="TableCopy"/>
              <w:rPr>
                <w:lang w:val="en-GB"/>
              </w:rPr>
            </w:pPr>
            <w:r w:rsidRPr="004A7EDA">
              <w:rPr>
                <w:lang w:val="en-GB"/>
              </w:rPr>
              <w:t>Timeliness</w:t>
            </w:r>
          </w:p>
        </w:tc>
      </w:tr>
      <w:tr w:rsidR="004A7EDA" w:rsidRPr="004A7EDA" w14:paraId="0073E014" w14:textId="77777777" w:rsidTr="00286AE3">
        <w:trPr>
          <w:trHeight w:val="113"/>
        </w:trPr>
        <w:tc>
          <w:tcPr>
            <w:tcW w:w="4743" w:type="dxa"/>
            <w:shd w:val="clear" w:color="auto" w:fill="auto"/>
            <w:tcMar>
              <w:top w:w="113" w:type="dxa"/>
              <w:left w:w="28" w:type="dxa"/>
              <w:bottom w:w="113" w:type="dxa"/>
              <w:right w:w="28" w:type="dxa"/>
            </w:tcMar>
          </w:tcPr>
          <w:p w14:paraId="387DB036" w14:textId="77777777" w:rsidR="004A7EDA" w:rsidRPr="004A7EDA" w:rsidRDefault="004A7EDA" w:rsidP="00286AE3">
            <w:pPr>
              <w:pStyle w:val="TableCopy"/>
              <w:rPr>
                <w:lang w:val="en-GB"/>
              </w:rPr>
            </w:pPr>
            <w:r w:rsidRPr="004A7EDA">
              <w:rPr>
                <w:lang w:val="en-GB"/>
              </w:rPr>
              <w:t>Animal and plant certificates issued within specified timeframes to support domestic and international market access</w:t>
            </w:r>
          </w:p>
        </w:tc>
        <w:tc>
          <w:tcPr>
            <w:tcW w:w="1020" w:type="dxa"/>
            <w:shd w:val="clear" w:color="auto" w:fill="auto"/>
            <w:tcMar>
              <w:top w:w="113" w:type="dxa"/>
              <w:left w:w="28" w:type="dxa"/>
              <w:bottom w:w="113" w:type="dxa"/>
              <w:right w:w="28" w:type="dxa"/>
            </w:tcMar>
          </w:tcPr>
          <w:p w14:paraId="48DDE341"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03641413" w14:textId="77777777" w:rsidR="004A7EDA" w:rsidRPr="004A7EDA" w:rsidRDefault="004A7EDA" w:rsidP="00286AE3">
            <w:pPr>
              <w:pStyle w:val="TableCopy"/>
              <w:rPr>
                <w:lang w:val="en-GB"/>
              </w:rPr>
            </w:pPr>
            <w:r w:rsidRPr="004A7EDA">
              <w:rPr>
                <w:lang w:val="en-GB"/>
              </w:rPr>
              <w:t>96.5</w:t>
            </w:r>
          </w:p>
        </w:tc>
        <w:tc>
          <w:tcPr>
            <w:tcW w:w="1020" w:type="dxa"/>
            <w:shd w:val="clear" w:color="auto" w:fill="auto"/>
            <w:tcMar>
              <w:top w:w="113" w:type="dxa"/>
              <w:left w:w="28" w:type="dxa"/>
              <w:bottom w:w="113" w:type="dxa"/>
              <w:right w:w="28" w:type="dxa"/>
            </w:tcMar>
          </w:tcPr>
          <w:p w14:paraId="3162E01D" w14:textId="77777777" w:rsidR="004A7EDA" w:rsidRPr="004A7EDA" w:rsidRDefault="004A7EDA" w:rsidP="00286AE3">
            <w:pPr>
              <w:pStyle w:val="TableCopy"/>
              <w:rPr>
                <w:lang w:val="en-GB"/>
              </w:rPr>
            </w:pPr>
            <w:r w:rsidRPr="004A7EDA">
              <w:rPr>
                <w:lang w:val="en-GB"/>
              </w:rPr>
              <w:t>95</w:t>
            </w:r>
          </w:p>
        </w:tc>
        <w:tc>
          <w:tcPr>
            <w:tcW w:w="1380" w:type="dxa"/>
            <w:shd w:val="clear" w:color="auto" w:fill="auto"/>
            <w:tcMar>
              <w:top w:w="113" w:type="dxa"/>
              <w:left w:w="28" w:type="dxa"/>
              <w:bottom w:w="113" w:type="dxa"/>
              <w:right w:w="28" w:type="dxa"/>
            </w:tcMar>
          </w:tcPr>
          <w:p w14:paraId="393C8FC1" w14:textId="77777777" w:rsidR="004A7EDA" w:rsidRPr="004A7EDA" w:rsidRDefault="004A7EDA" w:rsidP="00286AE3">
            <w:pPr>
              <w:pStyle w:val="TableCopy"/>
              <w:rPr>
                <w:lang w:val="en-GB"/>
              </w:rPr>
            </w:pPr>
            <w:r w:rsidRPr="004A7EDA">
              <w:rPr>
                <w:lang w:val="en-GB"/>
              </w:rPr>
              <w:t>1.6%</w:t>
            </w:r>
          </w:p>
        </w:tc>
        <w:tc>
          <w:tcPr>
            <w:tcW w:w="1024" w:type="dxa"/>
            <w:shd w:val="clear" w:color="auto" w:fill="auto"/>
            <w:tcMar>
              <w:top w:w="113" w:type="dxa"/>
              <w:left w:w="28" w:type="dxa"/>
              <w:bottom w:w="113" w:type="dxa"/>
              <w:right w:w="28" w:type="dxa"/>
            </w:tcMar>
          </w:tcPr>
          <w:p w14:paraId="6363A312" w14:textId="2933556C" w:rsidR="004A7EDA" w:rsidRPr="004A7EDA" w:rsidRDefault="00BE1D1E" w:rsidP="00286AE3">
            <w:pPr>
              <w:pStyle w:val="TableCopy"/>
              <w:rPr>
                <w:lang w:val="en-GB"/>
              </w:rPr>
            </w:pPr>
            <w:r>
              <w:rPr>
                <w:lang w:val="en-GB"/>
              </w:rPr>
              <w:t>*</w:t>
            </w:r>
          </w:p>
        </w:tc>
      </w:tr>
      <w:tr w:rsidR="004A7EDA" w:rsidRPr="004A7EDA" w14:paraId="1F6F67BD" w14:textId="77777777" w:rsidTr="00286AE3">
        <w:trPr>
          <w:trHeight w:val="113"/>
        </w:trPr>
        <w:tc>
          <w:tcPr>
            <w:tcW w:w="4743" w:type="dxa"/>
            <w:shd w:val="clear" w:color="auto" w:fill="auto"/>
            <w:tcMar>
              <w:top w:w="113" w:type="dxa"/>
              <w:left w:w="28" w:type="dxa"/>
              <w:bottom w:w="113" w:type="dxa"/>
              <w:right w:w="28" w:type="dxa"/>
            </w:tcMar>
          </w:tcPr>
          <w:p w14:paraId="78682060" w14:textId="77777777" w:rsidR="004A7EDA" w:rsidRPr="004A7EDA" w:rsidRDefault="004A7EDA" w:rsidP="00286AE3">
            <w:pPr>
              <w:pStyle w:val="TableCopy"/>
              <w:rPr>
                <w:lang w:val="en-GB"/>
              </w:rPr>
            </w:pPr>
            <w:r w:rsidRPr="004A7EDA">
              <w:rPr>
                <w:lang w:val="en-GB"/>
              </w:rPr>
              <w:t>Initial action taken to respond to reported emergency animal and plant pest, disease and natural disaster incidents complies with national agreements</w:t>
            </w:r>
            <w:r w:rsidRPr="004A7EDA">
              <w:rPr>
                <w:lang w:val="en-GB"/>
              </w:rPr>
              <w:br/>
              <w:t>and obligations</w:t>
            </w:r>
          </w:p>
        </w:tc>
        <w:tc>
          <w:tcPr>
            <w:tcW w:w="1020" w:type="dxa"/>
            <w:shd w:val="clear" w:color="auto" w:fill="auto"/>
            <w:tcMar>
              <w:top w:w="113" w:type="dxa"/>
              <w:left w:w="28" w:type="dxa"/>
              <w:bottom w:w="113" w:type="dxa"/>
              <w:right w:w="28" w:type="dxa"/>
            </w:tcMar>
          </w:tcPr>
          <w:p w14:paraId="4DAEFD29"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4D32DDB1" w14:textId="77777777" w:rsidR="004A7EDA" w:rsidRPr="004A7EDA" w:rsidRDefault="004A7EDA" w:rsidP="00286AE3">
            <w:pPr>
              <w:pStyle w:val="TableCopy"/>
              <w:rPr>
                <w:lang w:val="en-GB"/>
              </w:rPr>
            </w:pPr>
            <w:r w:rsidRPr="004A7EDA">
              <w:rPr>
                <w:lang w:val="en-GB"/>
              </w:rPr>
              <w:t>100</w:t>
            </w:r>
          </w:p>
        </w:tc>
        <w:tc>
          <w:tcPr>
            <w:tcW w:w="1020" w:type="dxa"/>
            <w:shd w:val="clear" w:color="auto" w:fill="auto"/>
            <w:tcMar>
              <w:top w:w="113" w:type="dxa"/>
              <w:left w:w="28" w:type="dxa"/>
              <w:bottom w:w="113" w:type="dxa"/>
              <w:right w:w="28" w:type="dxa"/>
            </w:tcMar>
          </w:tcPr>
          <w:p w14:paraId="336FBA4D" w14:textId="77777777" w:rsidR="004A7EDA" w:rsidRPr="004A7EDA" w:rsidRDefault="004A7EDA" w:rsidP="00286AE3">
            <w:pPr>
              <w:pStyle w:val="TableCopy"/>
              <w:rPr>
                <w:lang w:val="en-GB"/>
              </w:rPr>
            </w:pPr>
            <w:r w:rsidRPr="004A7EDA">
              <w:rPr>
                <w:lang w:val="en-GB"/>
              </w:rPr>
              <w:t>100</w:t>
            </w:r>
          </w:p>
        </w:tc>
        <w:tc>
          <w:tcPr>
            <w:tcW w:w="1380" w:type="dxa"/>
            <w:shd w:val="clear" w:color="auto" w:fill="auto"/>
            <w:tcMar>
              <w:top w:w="113" w:type="dxa"/>
              <w:left w:w="28" w:type="dxa"/>
              <w:bottom w:w="113" w:type="dxa"/>
              <w:right w:w="28" w:type="dxa"/>
            </w:tcMar>
          </w:tcPr>
          <w:p w14:paraId="604ADE22"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3338A71A" w14:textId="0E3ACB24" w:rsidR="004A7EDA" w:rsidRPr="004A7EDA" w:rsidRDefault="00BE1D1E" w:rsidP="00286AE3">
            <w:pPr>
              <w:pStyle w:val="TableCopy"/>
              <w:rPr>
                <w:lang w:val="en-GB"/>
              </w:rPr>
            </w:pPr>
            <w:r>
              <w:rPr>
                <w:lang w:val="en-GB"/>
              </w:rPr>
              <w:t>*</w:t>
            </w:r>
          </w:p>
        </w:tc>
      </w:tr>
      <w:tr w:rsidR="004A7EDA" w:rsidRPr="004A7EDA" w14:paraId="59E3D4E8" w14:textId="77777777" w:rsidTr="0041342C">
        <w:trPr>
          <w:trHeight w:val="113"/>
        </w:trPr>
        <w:tc>
          <w:tcPr>
            <w:tcW w:w="10206" w:type="dxa"/>
            <w:gridSpan w:val="6"/>
            <w:shd w:val="clear" w:color="auto" w:fill="auto"/>
            <w:tcMar>
              <w:top w:w="113" w:type="dxa"/>
              <w:left w:w="28" w:type="dxa"/>
              <w:bottom w:w="113" w:type="dxa"/>
              <w:right w:w="28" w:type="dxa"/>
            </w:tcMar>
          </w:tcPr>
          <w:p w14:paraId="0FEB8897" w14:textId="77777777" w:rsidR="004A7EDA" w:rsidRPr="004A7EDA" w:rsidRDefault="004A7EDA" w:rsidP="00286AE3">
            <w:pPr>
              <w:pStyle w:val="TableCopy"/>
              <w:rPr>
                <w:lang w:val="en-GB"/>
              </w:rPr>
            </w:pPr>
            <w:r w:rsidRPr="004A7EDA">
              <w:rPr>
                <w:lang w:val="en-GB"/>
              </w:rPr>
              <w:t>Cost</w:t>
            </w:r>
          </w:p>
        </w:tc>
      </w:tr>
      <w:tr w:rsidR="004A7EDA" w:rsidRPr="004A7EDA" w14:paraId="32C36697" w14:textId="77777777" w:rsidTr="00286AE3">
        <w:trPr>
          <w:trHeight w:val="113"/>
        </w:trPr>
        <w:tc>
          <w:tcPr>
            <w:tcW w:w="4743" w:type="dxa"/>
            <w:shd w:val="clear" w:color="auto" w:fill="auto"/>
            <w:tcMar>
              <w:top w:w="113" w:type="dxa"/>
              <w:left w:w="28" w:type="dxa"/>
              <w:bottom w:w="113" w:type="dxa"/>
              <w:right w:w="28" w:type="dxa"/>
            </w:tcMar>
          </w:tcPr>
          <w:p w14:paraId="146BB023" w14:textId="77777777" w:rsidR="004A7EDA" w:rsidRPr="004A7EDA" w:rsidRDefault="004A7EDA" w:rsidP="00286AE3">
            <w:pPr>
              <w:pStyle w:val="TableCopy"/>
              <w:rPr>
                <w:lang w:val="en-GB"/>
              </w:rPr>
            </w:pPr>
            <w:r w:rsidRPr="004A7EDA">
              <w:rPr>
                <w:lang w:val="en-GB"/>
              </w:rPr>
              <w:t>Total output cost</w:t>
            </w:r>
          </w:p>
        </w:tc>
        <w:tc>
          <w:tcPr>
            <w:tcW w:w="1020" w:type="dxa"/>
            <w:shd w:val="clear" w:color="auto" w:fill="auto"/>
            <w:tcMar>
              <w:top w:w="113" w:type="dxa"/>
              <w:left w:w="28" w:type="dxa"/>
              <w:bottom w:w="113" w:type="dxa"/>
              <w:right w:w="28" w:type="dxa"/>
            </w:tcMar>
          </w:tcPr>
          <w:p w14:paraId="0250D8C1" w14:textId="77777777" w:rsidR="004A7EDA" w:rsidRPr="004A7EDA" w:rsidRDefault="004A7EDA" w:rsidP="00286AE3">
            <w:pPr>
              <w:pStyle w:val="TableCopy"/>
              <w:rPr>
                <w:lang w:val="en-GB"/>
              </w:rPr>
            </w:pPr>
            <w:r w:rsidRPr="004A7EDA">
              <w:rPr>
                <w:lang w:val="en-GB"/>
              </w:rPr>
              <w:t>$ million</w:t>
            </w:r>
          </w:p>
        </w:tc>
        <w:tc>
          <w:tcPr>
            <w:tcW w:w="1019" w:type="dxa"/>
            <w:shd w:val="clear" w:color="auto" w:fill="auto"/>
            <w:tcMar>
              <w:top w:w="113" w:type="dxa"/>
              <w:left w:w="28" w:type="dxa"/>
              <w:bottom w:w="113" w:type="dxa"/>
              <w:right w:w="28" w:type="dxa"/>
            </w:tcMar>
          </w:tcPr>
          <w:p w14:paraId="729813C4" w14:textId="77777777" w:rsidR="004A7EDA" w:rsidRPr="004A7EDA" w:rsidRDefault="004A7EDA" w:rsidP="00286AE3">
            <w:pPr>
              <w:pStyle w:val="TableCopy"/>
              <w:rPr>
                <w:lang w:val="en-GB"/>
              </w:rPr>
            </w:pPr>
            <w:r w:rsidRPr="004A7EDA">
              <w:rPr>
                <w:lang w:val="en-GB"/>
              </w:rPr>
              <w:t>140.2</w:t>
            </w:r>
          </w:p>
        </w:tc>
        <w:tc>
          <w:tcPr>
            <w:tcW w:w="1020" w:type="dxa"/>
            <w:shd w:val="clear" w:color="auto" w:fill="auto"/>
            <w:tcMar>
              <w:top w:w="113" w:type="dxa"/>
              <w:left w:w="28" w:type="dxa"/>
              <w:bottom w:w="113" w:type="dxa"/>
              <w:right w:w="28" w:type="dxa"/>
            </w:tcMar>
          </w:tcPr>
          <w:p w14:paraId="4F3B3420" w14:textId="77777777" w:rsidR="004A7EDA" w:rsidRPr="004A7EDA" w:rsidRDefault="004A7EDA" w:rsidP="00286AE3">
            <w:pPr>
              <w:pStyle w:val="TableCopy"/>
              <w:rPr>
                <w:lang w:val="en-GB"/>
              </w:rPr>
            </w:pPr>
            <w:r w:rsidRPr="004A7EDA">
              <w:rPr>
                <w:lang w:val="en-GB"/>
              </w:rPr>
              <w:t>113.5</w:t>
            </w:r>
          </w:p>
        </w:tc>
        <w:tc>
          <w:tcPr>
            <w:tcW w:w="1380" w:type="dxa"/>
            <w:shd w:val="clear" w:color="auto" w:fill="auto"/>
            <w:tcMar>
              <w:top w:w="113" w:type="dxa"/>
              <w:left w:w="28" w:type="dxa"/>
              <w:bottom w:w="113" w:type="dxa"/>
              <w:right w:w="28" w:type="dxa"/>
            </w:tcMar>
          </w:tcPr>
          <w:p w14:paraId="2D4B8C03" w14:textId="77777777" w:rsidR="004A7EDA" w:rsidRPr="004A7EDA" w:rsidRDefault="004A7EDA" w:rsidP="00286AE3">
            <w:pPr>
              <w:pStyle w:val="TableCopy"/>
              <w:rPr>
                <w:lang w:val="en-GB"/>
              </w:rPr>
            </w:pPr>
            <w:r w:rsidRPr="004A7EDA">
              <w:rPr>
                <w:lang w:val="en-GB"/>
              </w:rPr>
              <w:t>23.6%</w:t>
            </w:r>
          </w:p>
        </w:tc>
        <w:tc>
          <w:tcPr>
            <w:tcW w:w="1024" w:type="dxa"/>
            <w:shd w:val="clear" w:color="auto" w:fill="auto"/>
            <w:tcMar>
              <w:top w:w="113" w:type="dxa"/>
              <w:left w:w="28" w:type="dxa"/>
              <w:bottom w:w="113" w:type="dxa"/>
              <w:right w:w="28" w:type="dxa"/>
            </w:tcMar>
          </w:tcPr>
          <w:p w14:paraId="46472781" w14:textId="73F9FD3B" w:rsidR="004A7EDA" w:rsidRPr="004A7EDA" w:rsidRDefault="00BE1D1E" w:rsidP="00286AE3">
            <w:pPr>
              <w:pStyle w:val="TableCopy"/>
              <w:rPr>
                <w:lang w:val="en-GB"/>
              </w:rPr>
            </w:pPr>
            <w:r>
              <w:rPr>
                <w:lang w:val="en-GB"/>
              </w:rPr>
              <w:t>#</w:t>
            </w:r>
          </w:p>
        </w:tc>
      </w:tr>
      <w:tr w:rsidR="004A7EDA" w:rsidRPr="004A7EDA" w14:paraId="730B0465" w14:textId="77777777" w:rsidTr="0041342C">
        <w:trPr>
          <w:trHeight w:val="113"/>
        </w:trPr>
        <w:tc>
          <w:tcPr>
            <w:tcW w:w="10206" w:type="dxa"/>
            <w:gridSpan w:val="6"/>
            <w:shd w:val="clear" w:color="auto" w:fill="auto"/>
            <w:tcMar>
              <w:top w:w="113" w:type="dxa"/>
              <w:left w:w="113" w:type="dxa"/>
              <w:bottom w:w="113" w:type="dxa"/>
              <w:right w:w="113" w:type="dxa"/>
            </w:tcMar>
          </w:tcPr>
          <w:p w14:paraId="0D4389D2" w14:textId="77777777" w:rsidR="004A7EDA" w:rsidRPr="004A7EDA" w:rsidRDefault="004A7EDA" w:rsidP="00286AE3">
            <w:pPr>
              <w:pStyle w:val="TableCopy"/>
            </w:pPr>
            <w:r w:rsidRPr="004A7EDA">
              <w:t>The 2020–21 result was higher than 2020–21 budget primarily due to additional expenditure incurred in 2020–21 for the avian influenza</w:t>
            </w:r>
            <w:r w:rsidRPr="004A7EDA">
              <w:br/>
              <w:t>and Khapra beetle biosecurity responses.</w:t>
            </w:r>
          </w:p>
        </w:tc>
      </w:tr>
      <w:tr w:rsidR="004A7EDA" w:rsidRPr="004A7EDA" w14:paraId="0F78AA1F" w14:textId="77777777" w:rsidTr="0041342C">
        <w:trPr>
          <w:trHeight w:val="113"/>
        </w:trPr>
        <w:tc>
          <w:tcPr>
            <w:tcW w:w="10206" w:type="dxa"/>
            <w:gridSpan w:val="6"/>
            <w:shd w:val="clear" w:color="auto" w:fill="auto"/>
            <w:tcMar>
              <w:top w:w="113" w:type="dxa"/>
              <w:left w:w="28" w:type="dxa"/>
              <w:bottom w:w="113" w:type="dxa"/>
              <w:right w:w="28" w:type="dxa"/>
            </w:tcMar>
          </w:tcPr>
          <w:p w14:paraId="08B47EFF" w14:textId="77777777" w:rsidR="004A7EDA" w:rsidRPr="004A7EDA" w:rsidRDefault="004A7EDA" w:rsidP="00286AE3">
            <w:pPr>
              <w:pStyle w:val="TableCopy"/>
              <w:rPr>
                <w:lang w:val="en-GB"/>
              </w:rPr>
            </w:pPr>
            <w:r w:rsidRPr="004A7EDA">
              <w:rPr>
                <w:lang w:val="en-GB"/>
              </w:rPr>
              <w:t>Sustainably manage forest and game resources</w:t>
            </w:r>
          </w:p>
        </w:tc>
      </w:tr>
      <w:tr w:rsidR="004A7EDA" w:rsidRPr="004A7EDA" w14:paraId="163E2565" w14:textId="77777777" w:rsidTr="0041342C">
        <w:trPr>
          <w:trHeight w:val="113"/>
        </w:trPr>
        <w:tc>
          <w:tcPr>
            <w:tcW w:w="10206" w:type="dxa"/>
            <w:gridSpan w:val="6"/>
            <w:shd w:val="clear" w:color="auto" w:fill="auto"/>
            <w:tcMar>
              <w:top w:w="113" w:type="dxa"/>
              <w:left w:w="28" w:type="dxa"/>
              <w:bottom w:w="113" w:type="dxa"/>
              <w:right w:w="28" w:type="dxa"/>
            </w:tcMar>
          </w:tcPr>
          <w:p w14:paraId="2323248E" w14:textId="77777777" w:rsidR="004A7EDA" w:rsidRPr="004A7EDA" w:rsidRDefault="004A7EDA" w:rsidP="00286AE3">
            <w:pPr>
              <w:pStyle w:val="TableCopy"/>
              <w:rPr>
                <w:lang w:val="en-GB"/>
              </w:rPr>
            </w:pPr>
            <w:r w:rsidRPr="004A7EDA">
              <w:rPr>
                <w:lang w:val="en-GB"/>
              </w:rPr>
              <w:t>This sub-output creates the conditions to grow the natural resources economy by ensuring forestry and game resources are sustainably allocated and used for both recreational and commercial purposes.</w:t>
            </w:r>
          </w:p>
        </w:tc>
      </w:tr>
      <w:tr w:rsidR="004A7EDA" w:rsidRPr="004A7EDA" w14:paraId="089473DC" w14:textId="77777777" w:rsidTr="0041342C">
        <w:trPr>
          <w:trHeight w:val="113"/>
        </w:trPr>
        <w:tc>
          <w:tcPr>
            <w:tcW w:w="10206" w:type="dxa"/>
            <w:gridSpan w:val="6"/>
            <w:shd w:val="clear" w:color="auto" w:fill="auto"/>
            <w:tcMar>
              <w:top w:w="113" w:type="dxa"/>
              <w:left w:w="28" w:type="dxa"/>
              <w:bottom w:w="113" w:type="dxa"/>
              <w:right w:w="28" w:type="dxa"/>
            </w:tcMar>
          </w:tcPr>
          <w:p w14:paraId="692D43F1" w14:textId="77777777" w:rsidR="004A7EDA" w:rsidRPr="004A7EDA" w:rsidRDefault="004A7EDA" w:rsidP="00286AE3">
            <w:pPr>
              <w:pStyle w:val="TableCopy"/>
              <w:rPr>
                <w:lang w:val="en-GB"/>
              </w:rPr>
            </w:pPr>
            <w:r w:rsidRPr="004A7EDA">
              <w:rPr>
                <w:lang w:val="en-GB"/>
              </w:rPr>
              <w:t>Quantity</w:t>
            </w:r>
          </w:p>
        </w:tc>
      </w:tr>
      <w:tr w:rsidR="004A7EDA" w:rsidRPr="004A7EDA" w14:paraId="22E9352A" w14:textId="77777777" w:rsidTr="00286AE3">
        <w:trPr>
          <w:trHeight w:val="113"/>
        </w:trPr>
        <w:tc>
          <w:tcPr>
            <w:tcW w:w="4743" w:type="dxa"/>
            <w:shd w:val="clear" w:color="auto" w:fill="auto"/>
            <w:tcMar>
              <w:top w:w="113" w:type="dxa"/>
              <w:left w:w="28" w:type="dxa"/>
              <w:bottom w:w="113" w:type="dxa"/>
              <w:right w:w="28" w:type="dxa"/>
            </w:tcMar>
          </w:tcPr>
          <w:p w14:paraId="422D6356" w14:textId="77777777" w:rsidR="004A7EDA" w:rsidRPr="004A7EDA" w:rsidRDefault="004A7EDA" w:rsidP="00286AE3">
            <w:pPr>
              <w:pStyle w:val="TableCopy"/>
              <w:rPr>
                <w:lang w:val="en-GB"/>
              </w:rPr>
            </w:pPr>
            <w:r w:rsidRPr="004A7EDA">
              <w:rPr>
                <w:lang w:val="en-GB"/>
              </w:rPr>
              <w:t>Key statutory obligations relevant to the Game Management Authority complied with (tabling annual report, audits, business plan and board appointments)</w:t>
            </w:r>
          </w:p>
        </w:tc>
        <w:tc>
          <w:tcPr>
            <w:tcW w:w="1020" w:type="dxa"/>
            <w:shd w:val="clear" w:color="auto" w:fill="auto"/>
            <w:tcMar>
              <w:top w:w="113" w:type="dxa"/>
              <w:left w:w="28" w:type="dxa"/>
              <w:bottom w:w="113" w:type="dxa"/>
              <w:right w:w="28" w:type="dxa"/>
            </w:tcMar>
          </w:tcPr>
          <w:p w14:paraId="6248BEB8"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1BC988F0" w14:textId="77777777" w:rsidR="004A7EDA" w:rsidRPr="004A7EDA" w:rsidRDefault="004A7EDA" w:rsidP="00286AE3">
            <w:pPr>
              <w:pStyle w:val="TableCopy"/>
              <w:rPr>
                <w:lang w:val="en-GB"/>
              </w:rPr>
            </w:pPr>
            <w:r w:rsidRPr="004A7EDA">
              <w:rPr>
                <w:lang w:val="en-GB"/>
              </w:rPr>
              <w:t>100</w:t>
            </w:r>
          </w:p>
        </w:tc>
        <w:tc>
          <w:tcPr>
            <w:tcW w:w="1020" w:type="dxa"/>
            <w:shd w:val="clear" w:color="auto" w:fill="auto"/>
            <w:tcMar>
              <w:top w:w="113" w:type="dxa"/>
              <w:left w:w="28" w:type="dxa"/>
              <w:bottom w:w="113" w:type="dxa"/>
              <w:right w:w="28" w:type="dxa"/>
            </w:tcMar>
          </w:tcPr>
          <w:p w14:paraId="1D972ED7" w14:textId="77777777" w:rsidR="004A7EDA" w:rsidRPr="004A7EDA" w:rsidRDefault="004A7EDA" w:rsidP="00286AE3">
            <w:pPr>
              <w:pStyle w:val="TableCopy"/>
              <w:rPr>
                <w:lang w:val="en-GB"/>
              </w:rPr>
            </w:pPr>
            <w:r w:rsidRPr="004A7EDA">
              <w:rPr>
                <w:lang w:val="en-GB"/>
              </w:rPr>
              <w:t>100</w:t>
            </w:r>
          </w:p>
        </w:tc>
        <w:tc>
          <w:tcPr>
            <w:tcW w:w="1380" w:type="dxa"/>
            <w:shd w:val="clear" w:color="auto" w:fill="auto"/>
            <w:tcMar>
              <w:top w:w="113" w:type="dxa"/>
              <w:left w:w="28" w:type="dxa"/>
              <w:bottom w:w="113" w:type="dxa"/>
              <w:right w:w="28" w:type="dxa"/>
            </w:tcMar>
          </w:tcPr>
          <w:p w14:paraId="4BECA4CD"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507B3D3D" w14:textId="784A2393" w:rsidR="004A7EDA" w:rsidRPr="004A7EDA" w:rsidRDefault="00BE1D1E" w:rsidP="00286AE3">
            <w:pPr>
              <w:pStyle w:val="TableCopy"/>
              <w:rPr>
                <w:lang w:val="en-GB"/>
              </w:rPr>
            </w:pPr>
            <w:r>
              <w:rPr>
                <w:lang w:val="en-GB"/>
              </w:rPr>
              <w:t>*</w:t>
            </w:r>
          </w:p>
        </w:tc>
      </w:tr>
      <w:tr w:rsidR="004A7EDA" w:rsidRPr="004A7EDA" w14:paraId="14AC0AE0" w14:textId="77777777" w:rsidTr="00286AE3">
        <w:trPr>
          <w:trHeight w:val="113"/>
        </w:trPr>
        <w:tc>
          <w:tcPr>
            <w:tcW w:w="4743" w:type="dxa"/>
            <w:shd w:val="clear" w:color="auto" w:fill="auto"/>
            <w:tcMar>
              <w:top w:w="113" w:type="dxa"/>
              <w:left w:w="28" w:type="dxa"/>
              <w:bottom w:w="113" w:type="dxa"/>
              <w:right w:w="28" w:type="dxa"/>
            </w:tcMar>
          </w:tcPr>
          <w:p w14:paraId="67A9443A" w14:textId="77777777" w:rsidR="004A7EDA" w:rsidRPr="004A7EDA" w:rsidRDefault="004A7EDA" w:rsidP="00286AE3">
            <w:pPr>
              <w:pStyle w:val="TableCopy"/>
              <w:rPr>
                <w:lang w:val="en-GB"/>
              </w:rPr>
            </w:pPr>
            <w:r w:rsidRPr="004A7EDA">
              <w:rPr>
                <w:lang w:val="en-GB"/>
              </w:rPr>
              <w:t xml:space="preserve">Key statutory obligations relevant to </w:t>
            </w:r>
            <w:proofErr w:type="spellStart"/>
            <w:r w:rsidRPr="004A7EDA">
              <w:rPr>
                <w:lang w:val="en-GB"/>
              </w:rPr>
              <w:t>VicForests</w:t>
            </w:r>
            <w:proofErr w:type="spellEnd"/>
            <w:r w:rsidRPr="004A7EDA">
              <w:rPr>
                <w:lang w:val="en-GB"/>
              </w:rPr>
              <w:t xml:space="preserve"> complied with (tabling annual reports, audits, corporate </w:t>
            </w:r>
            <w:proofErr w:type="gramStart"/>
            <w:r w:rsidRPr="004A7EDA">
              <w:rPr>
                <w:lang w:val="en-GB"/>
              </w:rPr>
              <w:t>plan</w:t>
            </w:r>
            <w:proofErr w:type="gramEnd"/>
            <w:r w:rsidRPr="004A7EDA">
              <w:rPr>
                <w:lang w:val="en-GB"/>
              </w:rPr>
              <w:t xml:space="preserve"> and board appointments)</w:t>
            </w:r>
          </w:p>
        </w:tc>
        <w:tc>
          <w:tcPr>
            <w:tcW w:w="1020" w:type="dxa"/>
            <w:shd w:val="clear" w:color="auto" w:fill="auto"/>
            <w:tcMar>
              <w:top w:w="113" w:type="dxa"/>
              <w:left w:w="28" w:type="dxa"/>
              <w:bottom w:w="113" w:type="dxa"/>
              <w:right w:w="28" w:type="dxa"/>
            </w:tcMar>
          </w:tcPr>
          <w:p w14:paraId="63AB5935"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3F8A34EC" w14:textId="77777777" w:rsidR="004A7EDA" w:rsidRPr="004A7EDA" w:rsidRDefault="004A7EDA" w:rsidP="00286AE3">
            <w:pPr>
              <w:pStyle w:val="TableCopy"/>
              <w:rPr>
                <w:lang w:val="en-GB"/>
              </w:rPr>
            </w:pPr>
            <w:r w:rsidRPr="004A7EDA">
              <w:rPr>
                <w:lang w:val="en-GB"/>
              </w:rPr>
              <w:t>75</w:t>
            </w:r>
          </w:p>
        </w:tc>
        <w:tc>
          <w:tcPr>
            <w:tcW w:w="1020" w:type="dxa"/>
            <w:shd w:val="clear" w:color="auto" w:fill="auto"/>
            <w:tcMar>
              <w:top w:w="113" w:type="dxa"/>
              <w:left w:w="28" w:type="dxa"/>
              <w:bottom w:w="113" w:type="dxa"/>
              <w:right w:w="28" w:type="dxa"/>
            </w:tcMar>
          </w:tcPr>
          <w:p w14:paraId="341D2670" w14:textId="77777777" w:rsidR="004A7EDA" w:rsidRPr="004A7EDA" w:rsidRDefault="004A7EDA" w:rsidP="00286AE3">
            <w:pPr>
              <w:pStyle w:val="TableCopy"/>
              <w:rPr>
                <w:lang w:val="en-GB"/>
              </w:rPr>
            </w:pPr>
            <w:r w:rsidRPr="004A7EDA">
              <w:rPr>
                <w:lang w:val="en-GB"/>
              </w:rPr>
              <w:t>100</w:t>
            </w:r>
          </w:p>
        </w:tc>
        <w:tc>
          <w:tcPr>
            <w:tcW w:w="1380" w:type="dxa"/>
            <w:shd w:val="clear" w:color="auto" w:fill="auto"/>
            <w:tcMar>
              <w:top w:w="113" w:type="dxa"/>
              <w:left w:w="28" w:type="dxa"/>
              <w:bottom w:w="113" w:type="dxa"/>
              <w:right w:w="28" w:type="dxa"/>
            </w:tcMar>
          </w:tcPr>
          <w:p w14:paraId="5D587552" w14:textId="77777777" w:rsidR="004A7EDA" w:rsidRPr="004A7EDA" w:rsidRDefault="004A7EDA" w:rsidP="00286AE3">
            <w:pPr>
              <w:pStyle w:val="TableCopy"/>
              <w:rPr>
                <w:lang w:val="en-GB"/>
              </w:rPr>
            </w:pPr>
            <w:r w:rsidRPr="004A7EDA">
              <w:rPr>
                <w:lang w:val="en-GB"/>
              </w:rPr>
              <w:t>-25.0%</w:t>
            </w:r>
          </w:p>
        </w:tc>
        <w:tc>
          <w:tcPr>
            <w:tcW w:w="1024" w:type="dxa"/>
            <w:shd w:val="clear" w:color="auto" w:fill="auto"/>
            <w:tcMar>
              <w:top w:w="113" w:type="dxa"/>
              <w:left w:w="28" w:type="dxa"/>
              <w:bottom w:w="113" w:type="dxa"/>
              <w:right w:w="28" w:type="dxa"/>
            </w:tcMar>
          </w:tcPr>
          <w:p w14:paraId="2599B471" w14:textId="4F95C730" w:rsidR="004A7EDA" w:rsidRPr="004A7EDA" w:rsidRDefault="00BE1D1E" w:rsidP="00286AE3">
            <w:pPr>
              <w:pStyle w:val="TableCopy"/>
              <w:rPr>
                <w:lang w:val="en-GB"/>
              </w:rPr>
            </w:pPr>
            <w:r>
              <w:rPr>
                <w:lang w:val="en-GB"/>
              </w:rPr>
              <w:t>#</w:t>
            </w:r>
          </w:p>
        </w:tc>
      </w:tr>
      <w:tr w:rsidR="004A7EDA" w:rsidRPr="004A7EDA" w14:paraId="0F645588" w14:textId="77777777" w:rsidTr="0041342C">
        <w:trPr>
          <w:trHeight w:val="113"/>
        </w:trPr>
        <w:tc>
          <w:tcPr>
            <w:tcW w:w="10206" w:type="dxa"/>
            <w:gridSpan w:val="6"/>
            <w:shd w:val="clear" w:color="auto" w:fill="auto"/>
            <w:tcMar>
              <w:top w:w="113" w:type="dxa"/>
              <w:left w:w="113" w:type="dxa"/>
              <w:bottom w:w="113" w:type="dxa"/>
              <w:right w:w="113" w:type="dxa"/>
            </w:tcMar>
          </w:tcPr>
          <w:p w14:paraId="2729F337" w14:textId="77777777" w:rsidR="004A7EDA" w:rsidRPr="004A7EDA" w:rsidRDefault="004A7EDA" w:rsidP="00286AE3">
            <w:pPr>
              <w:pStyle w:val="TableCopy"/>
            </w:pPr>
            <w:proofErr w:type="spellStart"/>
            <w:r w:rsidRPr="004A7EDA">
              <w:t>VicForests</w:t>
            </w:r>
            <w:proofErr w:type="spellEnd"/>
            <w:r w:rsidRPr="004A7EDA">
              <w:t xml:space="preserve"> did not provide a Corporate Plan for 2020–21 due to ongoing uncertainty and legal challenges associated with the transition away from native timber harvesting.</w:t>
            </w:r>
          </w:p>
        </w:tc>
      </w:tr>
      <w:tr w:rsidR="004A7EDA" w:rsidRPr="004A7EDA" w14:paraId="7436BF50" w14:textId="77777777" w:rsidTr="0041342C">
        <w:trPr>
          <w:trHeight w:val="113"/>
        </w:trPr>
        <w:tc>
          <w:tcPr>
            <w:tcW w:w="10206" w:type="dxa"/>
            <w:gridSpan w:val="6"/>
            <w:shd w:val="clear" w:color="auto" w:fill="auto"/>
            <w:tcMar>
              <w:top w:w="113" w:type="dxa"/>
              <w:left w:w="28" w:type="dxa"/>
              <w:bottom w:w="113" w:type="dxa"/>
              <w:right w:w="28" w:type="dxa"/>
            </w:tcMar>
          </w:tcPr>
          <w:p w14:paraId="17320000" w14:textId="77777777" w:rsidR="004A7EDA" w:rsidRPr="004A7EDA" w:rsidRDefault="004A7EDA" w:rsidP="00286AE3">
            <w:pPr>
              <w:pStyle w:val="TableCopy"/>
              <w:rPr>
                <w:lang w:val="en-GB"/>
              </w:rPr>
            </w:pPr>
            <w:r w:rsidRPr="004A7EDA">
              <w:rPr>
                <w:lang w:val="en-GB"/>
              </w:rPr>
              <w:t>Timeliness</w:t>
            </w:r>
          </w:p>
        </w:tc>
      </w:tr>
      <w:tr w:rsidR="004A7EDA" w:rsidRPr="004A7EDA" w14:paraId="651D1DA2" w14:textId="77777777" w:rsidTr="00286AE3">
        <w:trPr>
          <w:trHeight w:val="113"/>
        </w:trPr>
        <w:tc>
          <w:tcPr>
            <w:tcW w:w="4743" w:type="dxa"/>
            <w:shd w:val="clear" w:color="auto" w:fill="auto"/>
            <w:tcMar>
              <w:top w:w="113" w:type="dxa"/>
              <w:left w:w="28" w:type="dxa"/>
              <w:bottom w:w="113" w:type="dxa"/>
              <w:right w:w="28" w:type="dxa"/>
            </w:tcMar>
          </w:tcPr>
          <w:p w14:paraId="73564C8E" w14:textId="77777777" w:rsidR="004A7EDA" w:rsidRPr="004A7EDA" w:rsidRDefault="004A7EDA" w:rsidP="00286AE3">
            <w:pPr>
              <w:pStyle w:val="TableCopy"/>
              <w:rPr>
                <w:lang w:val="en-GB"/>
              </w:rPr>
            </w:pPr>
            <w:r w:rsidRPr="004A7EDA">
              <w:rPr>
                <w:lang w:val="en-GB"/>
              </w:rPr>
              <w:t>Facilitate the delivery of game projects in line with</w:t>
            </w:r>
            <w:r w:rsidRPr="004A7EDA">
              <w:rPr>
                <w:lang w:val="en-GB"/>
              </w:rPr>
              <w:br/>
              <w:t>key project milestones</w:t>
            </w:r>
          </w:p>
        </w:tc>
        <w:tc>
          <w:tcPr>
            <w:tcW w:w="1020" w:type="dxa"/>
            <w:shd w:val="clear" w:color="auto" w:fill="auto"/>
            <w:tcMar>
              <w:top w:w="113" w:type="dxa"/>
              <w:left w:w="28" w:type="dxa"/>
              <w:bottom w:w="113" w:type="dxa"/>
              <w:right w:w="28" w:type="dxa"/>
            </w:tcMar>
          </w:tcPr>
          <w:p w14:paraId="50C3E463"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061D8D19" w14:textId="77777777" w:rsidR="004A7EDA" w:rsidRPr="004A7EDA" w:rsidRDefault="004A7EDA" w:rsidP="00286AE3">
            <w:pPr>
              <w:pStyle w:val="TableCopy"/>
              <w:rPr>
                <w:lang w:val="en-GB"/>
              </w:rPr>
            </w:pPr>
            <w:r w:rsidRPr="004A7EDA">
              <w:rPr>
                <w:lang w:val="en-GB"/>
              </w:rPr>
              <w:t>100</w:t>
            </w:r>
          </w:p>
        </w:tc>
        <w:tc>
          <w:tcPr>
            <w:tcW w:w="1020" w:type="dxa"/>
            <w:shd w:val="clear" w:color="auto" w:fill="auto"/>
            <w:tcMar>
              <w:top w:w="113" w:type="dxa"/>
              <w:left w:w="28" w:type="dxa"/>
              <w:bottom w:w="113" w:type="dxa"/>
              <w:right w:w="28" w:type="dxa"/>
            </w:tcMar>
          </w:tcPr>
          <w:p w14:paraId="36BAB779" w14:textId="77777777" w:rsidR="004A7EDA" w:rsidRPr="004A7EDA" w:rsidRDefault="004A7EDA" w:rsidP="00286AE3">
            <w:pPr>
              <w:pStyle w:val="TableCopy"/>
              <w:rPr>
                <w:lang w:val="en-GB"/>
              </w:rPr>
            </w:pPr>
            <w:r w:rsidRPr="004A7EDA">
              <w:rPr>
                <w:lang w:val="en-GB"/>
              </w:rPr>
              <w:t>100</w:t>
            </w:r>
          </w:p>
        </w:tc>
        <w:tc>
          <w:tcPr>
            <w:tcW w:w="1380" w:type="dxa"/>
            <w:shd w:val="clear" w:color="auto" w:fill="auto"/>
            <w:tcMar>
              <w:top w:w="113" w:type="dxa"/>
              <w:left w:w="28" w:type="dxa"/>
              <w:bottom w:w="113" w:type="dxa"/>
              <w:right w:w="28" w:type="dxa"/>
            </w:tcMar>
          </w:tcPr>
          <w:p w14:paraId="341D6A0F"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677A97C4" w14:textId="421D8476" w:rsidR="004A7EDA" w:rsidRPr="004A7EDA" w:rsidRDefault="00BE1D1E" w:rsidP="00286AE3">
            <w:pPr>
              <w:pStyle w:val="TableCopy"/>
              <w:rPr>
                <w:lang w:val="en-GB"/>
              </w:rPr>
            </w:pPr>
            <w:r>
              <w:rPr>
                <w:lang w:val="en-GB"/>
              </w:rPr>
              <w:t>*</w:t>
            </w:r>
          </w:p>
        </w:tc>
      </w:tr>
      <w:tr w:rsidR="004A7EDA" w:rsidRPr="004A7EDA" w14:paraId="6ED8AD8A" w14:textId="77777777" w:rsidTr="00286AE3">
        <w:trPr>
          <w:trHeight w:val="113"/>
        </w:trPr>
        <w:tc>
          <w:tcPr>
            <w:tcW w:w="4743" w:type="dxa"/>
            <w:shd w:val="clear" w:color="auto" w:fill="auto"/>
            <w:tcMar>
              <w:top w:w="113" w:type="dxa"/>
              <w:left w:w="28" w:type="dxa"/>
              <w:bottom w:w="113" w:type="dxa"/>
              <w:right w:w="28" w:type="dxa"/>
            </w:tcMar>
          </w:tcPr>
          <w:p w14:paraId="2906AB1E" w14:textId="77777777" w:rsidR="004A7EDA" w:rsidRPr="004A7EDA" w:rsidRDefault="004A7EDA" w:rsidP="00286AE3">
            <w:pPr>
              <w:pStyle w:val="TableCopy"/>
              <w:rPr>
                <w:lang w:val="en-GB"/>
              </w:rPr>
            </w:pPr>
            <w:r w:rsidRPr="004A7EDA">
              <w:rPr>
                <w:lang w:val="en-GB"/>
              </w:rPr>
              <w:t>Facilitate the delivery of the Victorian Forestry Plan</w:t>
            </w:r>
            <w:r w:rsidRPr="004A7EDA">
              <w:rPr>
                <w:lang w:val="en-GB"/>
              </w:rPr>
              <w:br/>
              <w:t>in line with key project milestones</w:t>
            </w:r>
          </w:p>
        </w:tc>
        <w:tc>
          <w:tcPr>
            <w:tcW w:w="1020" w:type="dxa"/>
            <w:shd w:val="clear" w:color="auto" w:fill="auto"/>
            <w:tcMar>
              <w:top w:w="113" w:type="dxa"/>
              <w:left w:w="28" w:type="dxa"/>
              <w:bottom w:w="113" w:type="dxa"/>
              <w:right w:w="28" w:type="dxa"/>
            </w:tcMar>
          </w:tcPr>
          <w:p w14:paraId="7FDF5A83"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36A051C5" w14:textId="77777777" w:rsidR="004A7EDA" w:rsidRPr="004A7EDA" w:rsidRDefault="004A7EDA" w:rsidP="00286AE3">
            <w:pPr>
              <w:pStyle w:val="TableCopy"/>
              <w:rPr>
                <w:lang w:val="en-GB"/>
              </w:rPr>
            </w:pPr>
            <w:r w:rsidRPr="004A7EDA">
              <w:rPr>
                <w:lang w:val="en-GB"/>
              </w:rPr>
              <w:t>100</w:t>
            </w:r>
          </w:p>
        </w:tc>
        <w:tc>
          <w:tcPr>
            <w:tcW w:w="1020" w:type="dxa"/>
            <w:shd w:val="clear" w:color="auto" w:fill="auto"/>
            <w:tcMar>
              <w:top w:w="113" w:type="dxa"/>
              <w:left w:w="28" w:type="dxa"/>
              <w:bottom w:w="113" w:type="dxa"/>
              <w:right w:w="28" w:type="dxa"/>
            </w:tcMar>
          </w:tcPr>
          <w:p w14:paraId="3F6DC7E9" w14:textId="77777777" w:rsidR="004A7EDA" w:rsidRPr="004A7EDA" w:rsidRDefault="004A7EDA" w:rsidP="00286AE3">
            <w:pPr>
              <w:pStyle w:val="TableCopy"/>
              <w:rPr>
                <w:lang w:val="en-GB"/>
              </w:rPr>
            </w:pPr>
            <w:r w:rsidRPr="004A7EDA">
              <w:rPr>
                <w:lang w:val="en-GB"/>
              </w:rPr>
              <w:t>100</w:t>
            </w:r>
          </w:p>
        </w:tc>
        <w:tc>
          <w:tcPr>
            <w:tcW w:w="1380" w:type="dxa"/>
            <w:shd w:val="clear" w:color="auto" w:fill="auto"/>
            <w:tcMar>
              <w:top w:w="113" w:type="dxa"/>
              <w:left w:w="28" w:type="dxa"/>
              <w:bottom w:w="113" w:type="dxa"/>
              <w:right w:w="28" w:type="dxa"/>
            </w:tcMar>
          </w:tcPr>
          <w:p w14:paraId="719B0B36"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640A0117" w14:textId="533D5DEF" w:rsidR="004A7EDA" w:rsidRPr="004A7EDA" w:rsidRDefault="00BE1D1E" w:rsidP="00286AE3">
            <w:pPr>
              <w:pStyle w:val="TableCopy"/>
              <w:rPr>
                <w:lang w:val="en-GB"/>
              </w:rPr>
            </w:pPr>
            <w:r>
              <w:rPr>
                <w:lang w:val="en-GB"/>
              </w:rPr>
              <w:t>*</w:t>
            </w:r>
          </w:p>
        </w:tc>
      </w:tr>
      <w:tr w:rsidR="004A7EDA" w:rsidRPr="00E727FE" w14:paraId="051D4CCB" w14:textId="77777777" w:rsidTr="0041342C">
        <w:trPr>
          <w:trHeight w:val="113"/>
        </w:trPr>
        <w:tc>
          <w:tcPr>
            <w:tcW w:w="10206" w:type="dxa"/>
            <w:gridSpan w:val="6"/>
            <w:shd w:val="clear" w:color="auto" w:fill="auto"/>
            <w:tcMar>
              <w:top w:w="113" w:type="dxa"/>
              <w:left w:w="28" w:type="dxa"/>
              <w:bottom w:w="113" w:type="dxa"/>
              <w:right w:w="28" w:type="dxa"/>
            </w:tcMar>
          </w:tcPr>
          <w:p w14:paraId="09866D57" w14:textId="77777777" w:rsidR="004A7EDA" w:rsidRPr="00E727FE" w:rsidRDefault="004A7EDA" w:rsidP="00286AE3">
            <w:pPr>
              <w:pStyle w:val="TableCopy"/>
            </w:pPr>
            <w:r w:rsidRPr="00E727FE">
              <w:t>Cost</w:t>
            </w:r>
          </w:p>
        </w:tc>
      </w:tr>
      <w:tr w:rsidR="004A7EDA" w:rsidRPr="004A7EDA" w14:paraId="5ED0F5AA" w14:textId="77777777" w:rsidTr="00286AE3">
        <w:trPr>
          <w:trHeight w:val="113"/>
        </w:trPr>
        <w:tc>
          <w:tcPr>
            <w:tcW w:w="4743" w:type="dxa"/>
            <w:shd w:val="clear" w:color="auto" w:fill="auto"/>
            <w:tcMar>
              <w:top w:w="113" w:type="dxa"/>
              <w:left w:w="28" w:type="dxa"/>
              <w:bottom w:w="113" w:type="dxa"/>
              <w:right w:w="28" w:type="dxa"/>
            </w:tcMar>
          </w:tcPr>
          <w:p w14:paraId="5017C556" w14:textId="77777777" w:rsidR="004A7EDA" w:rsidRPr="004A7EDA" w:rsidRDefault="004A7EDA" w:rsidP="00286AE3">
            <w:pPr>
              <w:pStyle w:val="TableCopy"/>
              <w:rPr>
                <w:lang w:val="en-GB"/>
              </w:rPr>
            </w:pPr>
            <w:r w:rsidRPr="004A7EDA">
              <w:rPr>
                <w:lang w:val="en-GB"/>
              </w:rPr>
              <w:t>Total output cost</w:t>
            </w:r>
          </w:p>
        </w:tc>
        <w:tc>
          <w:tcPr>
            <w:tcW w:w="1020" w:type="dxa"/>
            <w:shd w:val="clear" w:color="auto" w:fill="auto"/>
            <w:tcMar>
              <w:top w:w="113" w:type="dxa"/>
              <w:left w:w="28" w:type="dxa"/>
              <w:bottom w:w="113" w:type="dxa"/>
              <w:right w:w="28" w:type="dxa"/>
            </w:tcMar>
          </w:tcPr>
          <w:p w14:paraId="3AFA59EC" w14:textId="77777777" w:rsidR="004A7EDA" w:rsidRPr="004A7EDA" w:rsidRDefault="004A7EDA" w:rsidP="00286AE3">
            <w:pPr>
              <w:pStyle w:val="TableCopy"/>
              <w:rPr>
                <w:lang w:val="en-GB"/>
              </w:rPr>
            </w:pPr>
            <w:r w:rsidRPr="004A7EDA">
              <w:rPr>
                <w:lang w:val="en-GB"/>
              </w:rPr>
              <w:t>$ million</w:t>
            </w:r>
          </w:p>
        </w:tc>
        <w:tc>
          <w:tcPr>
            <w:tcW w:w="1019" w:type="dxa"/>
            <w:shd w:val="clear" w:color="auto" w:fill="auto"/>
            <w:tcMar>
              <w:top w:w="113" w:type="dxa"/>
              <w:left w:w="28" w:type="dxa"/>
              <w:bottom w:w="113" w:type="dxa"/>
              <w:right w:w="28" w:type="dxa"/>
            </w:tcMar>
          </w:tcPr>
          <w:p w14:paraId="315878DE" w14:textId="77777777" w:rsidR="004A7EDA" w:rsidRPr="004A7EDA" w:rsidRDefault="004A7EDA" w:rsidP="00286AE3">
            <w:pPr>
              <w:pStyle w:val="TableCopy"/>
              <w:rPr>
                <w:lang w:val="en-GB"/>
              </w:rPr>
            </w:pPr>
            <w:r w:rsidRPr="004A7EDA">
              <w:rPr>
                <w:lang w:val="en-GB"/>
              </w:rPr>
              <w:t>85.3</w:t>
            </w:r>
          </w:p>
        </w:tc>
        <w:tc>
          <w:tcPr>
            <w:tcW w:w="1020" w:type="dxa"/>
            <w:shd w:val="clear" w:color="auto" w:fill="auto"/>
            <w:tcMar>
              <w:top w:w="113" w:type="dxa"/>
              <w:left w:w="28" w:type="dxa"/>
              <w:bottom w:w="113" w:type="dxa"/>
              <w:right w:w="28" w:type="dxa"/>
            </w:tcMar>
          </w:tcPr>
          <w:p w14:paraId="2A21B717" w14:textId="77777777" w:rsidR="004A7EDA" w:rsidRPr="004A7EDA" w:rsidRDefault="004A7EDA" w:rsidP="00286AE3">
            <w:pPr>
              <w:pStyle w:val="TableCopy"/>
              <w:rPr>
                <w:lang w:val="en-GB"/>
              </w:rPr>
            </w:pPr>
            <w:r w:rsidRPr="004A7EDA">
              <w:rPr>
                <w:lang w:val="en-GB"/>
              </w:rPr>
              <w:t>78.8</w:t>
            </w:r>
          </w:p>
        </w:tc>
        <w:tc>
          <w:tcPr>
            <w:tcW w:w="1380" w:type="dxa"/>
            <w:shd w:val="clear" w:color="auto" w:fill="auto"/>
            <w:tcMar>
              <w:top w:w="113" w:type="dxa"/>
              <w:left w:w="28" w:type="dxa"/>
              <w:bottom w:w="113" w:type="dxa"/>
              <w:right w:w="28" w:type="dxa"/>
            </w:tcMar>
          </w:tcPr>
          <w:p w14:paraId="6A79AA0C" w14:textId="77777777" w:rsidR="004A7EDA" w:rsidRPr="004A7EDA" w:rsidRDefault="004A7EDA" w:rsidP="00286AE3">
            <w:pPr>
              <w:pStyle w:val="TableCopy"/>
              <w:rPr>
                <w:lang w:val="en-GB"/>
              </w:rPr>
            </w:pPr>
            <w:r w:rsidRPr="004A7EDA">
              <w:rPr>
                <w:lang w:val="en-GB"/>
              </w:rPr>
              <w:t>8.3%</w:t>
            </w:r>
          </w:p>
        </w:tc>
        <w:tc>
          <w:tcPr>
            <w:tcW w:w="1024" w:type="dxa"/>
            <w:shd w:val="clear" w:color="auto" w:fill="auto"/>
            <w:tcMar>
              <w:top w:w="113" w:type="dxa"/>
              <w:left w:w="28" w:type="dxa"/>
              <w:bottom w:w="113" w:type="dxa"/>
              <w:right w:w="28" w:type="dxa"/>
            </w:tcMar>
          </w:tcPr>
          <w:p w14:paraId="587D6D24" w14:textId="5A10F88F" w:rsidR="004A7EDA" w:rsidRPr="004A7EDA" w:rsidRDefault="00BE1D1E" w:rsidP="00286AE3">
            <w:pPr>
              <w:pStyle w:val="TableCopy"/>
              <w:rPr>
                <w:lang w:val="en-GB"/>
              </w:rPr>
            </w:pPr>
            <w:r>
              <w:rPr>
                <w:lang w:val="en-GB"/>
              </w:rPr>
              <w:t>#</w:t>
            </w:r>
          </w:p>
        </w:tc>
      </w:tr>
      <w:tr w:rsidR="004A7EDA" w:rsidRPr="004A7EDA" w14:paraId="29BDC9FB" w14:textId="77777777" w:rsidTr="0041342C">
        <w:trPr>
          <w:trHeight w:val="113"/>
        </w:trPr>
        <w:tc>
          <w:tcPr>
            <w:tcW w:w="10206" w:type="dxa"/>
            <w:gridSpan w:val="6"/>
            <w:shd w:val="clear" w:color="auto" w:fill="auto"/>
            <w:tcMar>
              <w:top w:w="113" w:type="dxa"/>
              <w:left w:w="113" w:type="dxa"/>
              <w:bottom w:w="113" w:type="dxa"/>
              <w:right w:w="113" w:type="dxa"/>
            </w:tcMar>
          </w:tcPr>
          <w:p w14:paraId="116D50B4" w14:textId="77777777" w:rsidR="004A7EDA" w:rsidRPr="004A7EDA" w:rsidRDefault="004A7EDA" w:rsidP="00286AE3">
            <w:pPr>
              <w:pStyle w:val="TableCopy"/>
            </w:pPr>
            <w:r w:rsidRPr="004A7EDA">
              <w:lastRenderedPageBreak/>
              <w:t>The 2020–21 result was higher than 2020–21 budget primarily due to additional funding received in 2020–21 for the implementation of the Victorian Forestry Plan.</w:t>
            </w:r>
          </w:p>
        </w:tc>
      </w:tr>
    </w:tbl>
    <w:p w14:paraId="36942F6C" w14:textId="5EAF093F" w:rsidR="004A7EDA" w:rsidRPr="004A7EDA" w:rsidRDefault="00286AE3" w:rsidP="004A7EDA">
      <w:pPr>
        <w:rPr>
          <w:lang w:val="en-GB"/>
        </w:rPr>
      </w:pPr>
      <w:r w:rsidRPr="004A7EDA">
        <w:t>Note:</w:t>
      </w:r>
      <w:r w:rsidRPr="004A7EDA">
        <w:t> </w:t>
      </w:r>
      <w:r w:rsidRPr="004A7EDA">
        <w:br/>
      </w:r>
      <w:r>
        <w:t>*</w:t>
      </w:r>
      <w:r w:rsidRPr="004A7EDA">
        <w:t xml:space="preserve"> Performance target achieved or exceeded</w:t>
      </w:r>
      <w:r w:rsidRPr="004A7EDA">
        <w:br/>
      </w:r>
      <w:r>
        <w:t>–</w:t>
      </w:r>
      <w:r w:rsidRPr="004A7EDA">
        <w:t xml:space="preserve"> Performance target not achieved – within 5 per cent variance</w:t>
      </w:r>
      <w:r w:rsidRPr="004A7EDA">
        <w:br/>
      </w:r>
      <w:r>
        <w:t>#</w:t>
      </w:r>
      <w:r w:rsidRPr="004A7EDA">
        <w:t xml:space="preserve"> Performance target not achieved – exceeds 5 per cent variance</w:t>
      </w:r>
    </w:p>
    <w:p w14:paraId="13543509" w14:textId="77777777" w:rsidR="004A7EDA" w:rsidRPr="004A7EDA" w:rsidRDefault="004A7EDA" w:rsidP="004A7EDA">
      <w:pPr>
        <w:rPr>
          <w:lang w:val="en-GB"/>
        </w:rPr>
      </w:pPr>
      <w:r w:rsidRPr="004A7EDA">
        <w:rPr>
          <w:lang w:val="en-GB"/>
        </w:rPr>
        <w:t xml:space="preserve">Table 31 represents performance against the Resources output. This output develops and delivers policy, </w:t>
      </w:r>
      <w:proofErr w:type="gramStart"/>
      <w:r w:rsidRPr="004A7EDA">
        <w:rPr>
          <w:lang w:val="en-GB"/>
        </w:rPr>
        <w:t>programs</w:t>
      </w:r>
      <w:proofErr w:type="gramEnd"/>
      <w:r w:rsidRPr="004A7EDA">
        <w:rPr>
          <w:lang w:val="en-GB"/>
        </w:rPr>
        <w:t xml:space="preserve"> and regulation to enable investment and generate jobs through the sustainable development</w:t>
      </w:r>
      <w:r w:rsidRPr="004A7EDA">
        <w:rPr>
          <w:lang w:val="en-GB"/>
        </w:rPr>
        <w:br/>
        <w:t>of the state’s earth resources, including extractives, minerals and petroleum.</w:t>
      </w:r>
    </w:p>
    <w:p w14:paraId="20834308" w14:textId="77777777" w:rsidR="004A7EDA" w:rsidRPr="004A7EDA" w:rsidRDefault="004A7EDA" w:rsidP="004A7EDA">
      <w:pPr>
        <w:rPr>
          <w:lang w:val="en-GB"/>
        </w:rPr>
      </w:pPr>
      <w:r w:rsidRPr="004A7EDA">
        <w:rPr>
          <w:lang w:val="en-GB"/>
        </w:rPr>
        <w:t>The department acquires and provides access to high-quality geoscience data and knowledge to inform government decision making and attract new investment and jobs to the state. It develops and implements legislative and regulatory reforms in the earth resources sector to improve outcomes for all stakeholders.</w:t>
      </w:r>
    </w:p>
    <w:p w14:paraId="66AF5C8D" w14:textId="77777777" w:rsidR="004A7EDA" w:rsidRPr="004A7EDA" w:rsidRDefault="004A7EDA" w:rsidP="004A7EDA">
      <w:pPr>
        <w:rPr>
          <w:lang w:val="en-GB"/>
        </w:rPr>
      </w:pPr>
      <w:r w:rsidRPr="004A7EDA">
        <w:rPr>
          <w:lang w:val="en-GB"/>
        </w:rPr>
        <w:t xml:space="preserve">By supporting investment in resources and low emission technologies, the department fosters innovation, productivity, </w:t>
      </w:r>
      <w:proofErr w:type="gramStart"/>
      <w:r w:rsidRPr="004A7EDA">
        <w:rPr>
          <w:lang w:val="en-GB"/>
        </w:rPr>
        <w:t>jobs</w:t>
      </w:r>
      <w:proofErr w:type="gramEnd"/>
      <w:r w:rsidRPr="004A7EDA">
        <w:rPr>
          <w:lang w:val="en-GB"/>
        </w:rPr>
        <w:t xml:space="preserve"> and trade in the state’s earth resources sector. Through strategic resource and related land use planning, new opportunities </w:t>
      </w:r>
      <w:proofErr w:type="gramStart"/>
      <w:r w:rsidRPr="004A7EDA">
        <w:rPr>
          <w:lang w:val="en-GB"/>
        </w:rPr>
        <w:t>are able to</w:t>
      </w:r>
      <w:proofErr w:type="gramEnd"/>
      <w:r w:rsidRPr="004A7EDA">
        <w:rPr>
          <w:lang w:val="en-GB"/>
        </w:rPr>
        <w:t xml:space="preserve"> be identified for Victoria’s earth resources, along with supporting major infrastructure development in the state.</w:t>
      </w:r>
    </w:p>
    <w:p w14:paraId="707E7479" w14:textId="77777777" w:rsidR="004A7EDA" w:rsidRPr="004A7EDA" w:rsidRDefault="004A7EDA" w:rsidP="004A7EDA">
      <w:pPr>
        <w:rPr>
          <w:lang w:val="en-GB"/>
        </w:rPr>
      </w:pPr>
      <w:r w:rsidRPr="004A7EDA">
        <w:rPr>
          <w:lang w:val="en-GB"/>
        </w:rPr>
        <w:t xml:space="preserve">The department also regulates the earth resources sector through transparent, </w:t>
      </w:r>
      <w:proofErr w:type="gramStart"/>
      <w:r w:rsidRPr="004A7EDA">
        <w:rPr>
          <w:lang w:val="en-GB"/>
        </w:rPr>
        <w:t>consistent</w:t>
      </w:r>
      <w:proofErr w:type="gramEnd"/>
      <w:r w:rsidRPr="004A7EDA">
        <w:rPr>
          <w:lang w:val="en-GB"/>
        </w:rPr>
        <w:t xml:space="preserve"> and timely regulatory processes that provide industry with confidence to invest and have regard to the needs</w:t>
      </w:r>
      <w:r w:rsidRPr="004A7EDA">
        <w:rPr>
          <w:lang w:val="en-GB"/>
        </w:rPr>
        <w:br/>
        <w:t>of communities and minimise impacts to the environment.</w:t>
      </w:r>
    </w:p>
    <w:p w14:paraId="49B8B314" w14:textId="77777777" w:rsidR="004A7EDA" w:rsidRPr="004A7EDA" w:rsidRDefault="004A7EDA" w:rsidP="00BE1D1E">
      <w:pPr>
        <w:pStyle w:val="Heading5"/>
        <w:rPr>
          <w:lang w:val="en-GB"/>
        </w:rPr>
      </w:pPr>
      <w:r w:rsidRPr="004A7EDA">
        <w:rPr>
          <w:lang w:val="en-GB"/>
        </w:rPr>
        <w:t>Table 31: Output – Resources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43"/>
        <w:gridCol w:w="1020"/>
        <w:gridCol w:w="1019"/>
        <w:gridCol w:w="1020"/>
        <w:gridCol w:w="1380"/>
        <w:gridCol w:w="1024"/>
      </w:tblGrid>
      <w:tr w:rsidR="004A7EDA" w:rsidRPr="00E727FE" w14:paraId="1F16C22B" w14:textId="77777777" w:rsidTr="00286AE3">
        <w:trPr>
          <w:trHeight w:val="113"/>
          <w:tblHeader/>
        </w:trPr>
        <w:tc>
          <w:tcPr>
            <w:tcW w:w="4743" w:type="dxa"/>
            <w:shd w:val="clear" w:color="auto" w:fill="auto"/>
            <w:tcMar>
              <w:top w:w="113" w:type="dxa"/>
              <w:left w:w="28" w:type="dxa"/>
              <w:bottom w:w="113" w:type="dxa"/>
              <w:right w:w="28" w:type="dxa"/>
            </w:tcMar>
          </w:tcPr>
          <w:p w14:paraId="4DBAE3B3" w14:textId="77777777" w:rsidR="004A7EDA" w:rsidRPr="00E727FE" w:rsidRDefault="004A7EDA" w:rsidP="00286AE3">
            <w:pPr>
              <w:pStyle w:val="TableHeading"/>
            </w:pPr>
            <w:r w:rsidRPr="00E727FE">
              <w:t>Performance measures</w:t>
            </w:r>
          </w:p>
        </w:tc>
        <w:tc>
          <w:tcPr>
            <w:tcW w:w="1020" w:type="dxa"/>
            <w:shd w:val="clear" w:color="auto" w:fill="auto"/>
            <w:tcMar>
              <w:top w:w="113" w:type="dxa"/>
              <w:left w:w="28" w:type="dxa"/>
              <w:bottom w:w="113" w:type="dxa"/>
              <w:right w:w="28" w:type="dxa"/>
            </w:tcMar>
          </w:tcPr>
          <w:p w14:paraId="15BE3747" w14:textId="77777777" w:rsidR="004A7EDA" w:rsidRPr="00E727FE" w:rsidRDefault="004A7EDA" w:rsidP="00286AE3">
            <w:pPr>
              <w:pStyle w:val="TableHeading"/>
            </w:pPr>
            <w:r w:rsidRPr="00E727FE">
              <w:t>Unit of measure</w:t>
            </w:r>
          </w:p>
        </w:tc>
        <w:tc>
          <w:tcPr>
            <w:tcW w:w="1019" w:type="dxa"/>
            <w:shd w:val="clear" w:color="auto" w:fill="auto"/>
            <w:tcMar>
              <w:top w:w="113" w:type="dxa"/>
              <w:left w:w="28" w:type="dxa"/>
              <w:bottom w:w="113" w:type="dxa"/>
              <w:right w:w="28" w:type="dxa"/>
            </w:tcMar>
          </w:tcPr>
          <w:p w14:paraId="3D5B4BD3" w14:textId="77777777" w:rsidR="004A7EDA" w:rsidRPr="00E727FE" w:rsidRDefault="004A7EDA" w:rsidP="00286AE3">
            <w:pPr>
              <w:pStyle w:val="TableHeading"/>
            </w:pPr>
            <w:r w:rsidRPr="00E727FE">
              <w:t>2020–21 actual</w:t>
            </w:r>
          </w:p>
        </w:tc>
        <w:tc>
          <w:tcPr>
            <w:tcW w:w="1020" w:type="dxa"/>
            <w:shd w:val="clear" w:color="auto" w:fill="auto"/>
            <w:tcMar>
              <w:top w:w="113" w:type="dxa"/>
              <w:left w:w="28" w:type="dxa"/>
              <w:bottom w:w="113" w:type="dxa"/>
              <w:right w:w="28" w:type="dxa"/>
            </w:tcMar>
          </w:tcPr>
          <w:p w14:paraId="7278BDDC" w14:textId="77777777" w:rsidR="004A7EDA" w:rsidRPr="00E727FE" w:rsidRDefault="004A7EDA" w:rsidP="00286AE3">
            <w:pPr>
              <w:pStyle w:val="TableHeading"/>
            </w:pPr>
            <w:r w:rsidRPr="00E727FE">
              <w:t>2020–21 target</w:t>
            </w:r>
          </w:p>
        </w:tc>
        <w:tc>
          <w:tcPr>
            <w:tcW w:w="1380" w:type="dxa"/>
            <w:shd w:val="clear" w:color="auto" w:fill="auto"/>
            <w:tcMar>
              <w:top w:w="113" w:type="dxa"/>
              <w:left w:w="28" w:type="dxa"/>
              <w:bottom w:w="113" w:type="dxa"/>
              <w:right w:w="28" w:type="dxa"/>
            </w:tcMar>
          </w:tcPr>
          <w:p w14:paraId="1D188374" w14:textId="77777777" w:rsidR="004A7EDA" w:rsidRPr="00E727FE" w:rsidRDefault="004A7EDA" w:rsidP="00286AE3">
            <w:pPr>
              <w:pStyle w:val="TableHeading"/>
            </w:pPr>
            <w:r w:rsidRPr="00E727FE">
              <w:t>Performance variation (%)</w:t>
            </w:r>
          </w:p>
        </w:tc>
        <w:tc>
          <w:tcPr>
            <w:tcW w:w="1024" w:type="dxa"/>
            <w:shd w:val="clear" w:color="auto" w:fill="auto"/>
            <w:tcMar>
              <w:top w:w="113" w:type="dxa"/>
              <w:left w:w="28" w:type="dxa"/>
              <w:bottom w:w="113" w:type="dxa"/>
              <w:right w:w="28" w:type="dxa"/>
            </w:tcMar>
          </w:tcPr>
          <w:p w14:paraId="5077CD96" w14:textId="77777777" w:rsidR="004A7EDA" w:rsidRPr="00E727FE" w:rsidRDefault="004A7EDA" w:rsidP="00286AE3">
            <w:pPr>
              <w:pStyle w:val="TableHeading"/>
            </w:pPr>
            <w:r w:rsidRPr="00E727FE">
              <w:t>Result</w:t>
            </w:r>
          </w:p>
        </w:tc>
      </w:tr>
      <w:tr w:rsidR="004A7EDA" w:rsidRPr="004A7EDA" w14:paraId="40C2E3E7" w14:textId="77777777" w:rsidTr="00E727FE">
        <w:trPr>
          <w:trHeight w:val="113"/>
        </w:trPr>
        <w:tc>
          <w:tcPr>
            <w:tcW w:w="10206" w:type="dxa"/>
            <w:gridSpan w:val="6"/>
            <w:shd w:val="clear" w:color="auto" w:fill="auto"/>
            <w:tcMar>
              <w:top w:w="113" w:type="dxa"/>
              <w:left w:w="28" w:type="dxa"/>
              <w:bottom w:w="113" w:type="dxa"/>
              <w:right w:w="28" w:type="dxa"/>
            </w:tcMar>
          </w:tcPr>
          <w:p w14:paraId="4723BAD2" w14:textId="77777777" w:rsidR="004A7EDA" w:rsidRPr="004A7EDA" w:rsidRDefault="004A7EDA" w:rsidP="00286AE3">
            <w:pPr>
              <w:pStyle w:val="TableCopy"/>
              <w:rPr>
                <w:lang w:val="en-GB"/>
              </w:rPr>
            </w:pPr>
            <w:r w:rsidRPr="004A7EDA">
              <w:rPr>
                <w:lang w:val="en-GB"/>
              </w:rPr>
              <w:t>Quantity</w:t>
            </w:r>
          </w:p>
        </w:tc>
      </w:tr>
      <w:tr w:rsidR="004A7EDA" w:rsidRPr="004A7EDA" w14:paraId="46A42356" w14:textId="77777777" w:rsidTr="00286AE3">
        <w:trPr>
          <w:trHeight w:val="113"/>
        </w:trPr>
        <w:tc>
          <w:tcPr>
            <w:tcW w:w="4743" w:type="dxa"/>
            <w:shd w:val="clear" w:color="auto" w:fill="auto"/>
            <w:tcMar>
              <w:top w:w="113" w:type="dxa"/>
              <w:left w:w="28" w:type="dxa"/>
              <w:bottom w:w="113" w:type="dxa"/>
              <w:right w:w="28" w:type="dxa"/>
            </w:tcMar>
          </w:tcPr>
          <w:p w14:paraId="0FADF80D" w14:textId="77777777" w:rsidR="004A7EDA" w:rsidRPr="004A7EDA" w:rsidRDefault="004A7EDA" w:rsidP="00286AE3">
            <w:pPr>
              <w:pStyle w:val="TableCopy"/>
              <w:rPr>
                <w:lang w:val="en-GB"/>
              </w:rPr>
            </w:pPr>
            <w:r w:rsidRPr="004A7EDA">
              <w:rPr>
                <w:lang w:val="en-GB"/>
              </w:rPr>
              <w:t>Community and stakeholder engagement</w:t>
            </w:r>
            <w:r w:rsidRPr="004A7EDA">
              <w:rPr>
                <w:lang w:val="en-GB"/>
              </w:rPr>
              <w:br/>
              <w:t>information forums</w:t>
            </w:r>
          </w:p>
        </w:tc>
        <w:tc>
          <w:tcPr>
            <w:tcW w:w="1020" w:type="dxa"/>
            <w:shd w:val="clear" w:color="auto" w:fill="auto"/>
            <w:tcMar>
              <w:top w:w="113" w:type="dxa"/>
              <w:left w:w="28" w:type="dxa"/>
              <w:bottom w:w="113" w:type="dxa"/>
              <w:right w:w="28" w:type="dxa"/>
            </w:tcMar>
          </w:tcPr>
          <w:p w14:paraId="2011CA1D"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658387A2" w14:textId="77777777" w:rsidR="004A7EDA" w:rsidRPr="004A7EDA" w:rsidRDefault="004A7EDA" w:rsidP="00286AE3">
            <w:pPr>
              <w:pStyle w:val="TableCopy"/>
              <w:rPr>
                <w:lang w:val="en-GB"/>
              </w:rPr>
            </w:pPr>
            <w:r w:rsidRPr="004A7EDA">
              <w:rPr>
                <w:lang w:val="en-GB"/>
              </w:rPr>
              <w:t>55</w:t>
            </w:r>
          </w:p>
        </w:tc>
        <w:tc>
          <w:tcPr>
            <w:tcW w:w="1020" w:type="dxa"/>
            <w:shd w:val="clear" w:color="auto" w:fill="auto"/>
            <w:tcMar>
              <w:top w:w="113" w:type="dxa"/>
              <w:left w:w="28" w:type="dxa"/>
              <w:bottom w:w="113" w:type="dxa"/>
              <w:right w:w="28" w:type="dxa"/>
            </w:tcMar>
          </w:tcPr>
          <w:p w14:paraId="01F74E89" w14:textId="77777777" w:rsidR="004A7EDA" w:rsidRPr="004A7EDA" w:rsidRDefault="004A7EDA" w:rsidP="00286AE3">
            <w:pPr>
              <w:pStyle w:val="TableCopy"/>
              <w:rPr>
                <w:lang w:val="en-GB"/>
              </w:rPr>
            </w:pPr>
            <w:r w:rsidRPr="004A7EDA">
              <w:rPr>
                <w:lang w:val="en-GB"/>
              </w:rPr>
              <w:t>55</w:t>
            </w:r>
          </w:p>
        </w:tc>
        <w:tc>
          <w:tcPr>
            <w:tcW w:w="1380" w:type="dxa"/>
            <w:shd w:val="clear" w:color="auto" w:fill="auto"/>
            <w:tcMar>
              <w:top w:w="113" w:type="dxa"/>
              <w:left w:w="28" w:type="dxa"/>
              <w:bottom w:w="113" w:type="dxa"/>
              <w:right w:w="28" w:type="dxa"/>
            </w:tcMar>
          </w:tcPr>
          <w:p w14:paraId="078C9AD7"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381CDF02" w14:textId="0271899A" w:rsidR="004A7EDA" w:rsidRPr="004A7EDA" w:rsidRDefault="00BE1D1E" w:rsidP="00286AE3">
            <w:pPr>
              <w:pStyle w:val="TableCopy"/>
              <w:rPr>
                <w:lang w:val="en-GB"/>
              </w:rPr>
            </w:pPr>
            <w:r>
              <w:rPr>
                <w:lang w:val="en-GB"/>
              </w:rPr>
              <w:t>*</w:t>
            </w:r>
          </w:p>
        </w:tc>
      </w:tr>
      <w:tr w:rsidR="004A7EDA" w:rsidRPr="004A7EDA" w14:paraId="08FA069D" w14:textId="77777777" w:rsidTr="00E727FE">
        <w:trPr>
          <w:trHeight w:val="113"/>
        </w:trPr>
        <w:tc>
          <w:tcPr>
            <w:tcW w:w="10206" w:type="dxa"/>
            <w:gridSpan w:val="6"/>
            <w:shd w:val="clear" w:color="auto" w:fill="auto"/>
            <w:tcMar>
              <w:top w:w="113" w:type="dxa"/>
              <w:left w:w="28" w:type="dxa"/>
              <w:bottom w:w="113" w:type="dxa"/>
              <w:right w:w="28" w:type="dxa"/>
            </w:tcMar>
          </w:tcPr>
          <w:p w14:paraId="21EC8012" w14:textId="77777777" w:rsidR="004A7EDA" w:rsidRPr="004A7EDA" w:rsidRDefault="004A7EDA" w:rsidP="00286AE3">
            <w:pPr>
              <w:pStyle w:val="TableCopy"/>
              <w:rPr>
                <w:lang w:val="en-GB"/>
              </w:rPr>
            </w:pPr>
            <w:r w:rsidRPr="004A7EDA">
              <w:rPr>
                <w:lang w:val="en-GB"/>
              </w:rPr>
              <w:t>Quality</w:t>
            </w:r>
          </w:p>
        </w:tc>
      </w:tr>
      <w:tr w:rsidR="004A7EDA" w:rsidRPr="004A7EDA" w14:paraId="695A6D7C" w14:textId="77777777" w:rsidTr="00286AE3">
        <w:trPr>
          <w:trHeight w:val="113"/>
        </w:trPr>
        <w:tc>
          <w:tcPr>
            <w:tcW w:w="4743" w:type="dxa"/>
            <w:shd w:val="clear" w:color="auto" w:fill="auto"/>
            <w:tcMar>
              <w:top w:w="113" w:type="dxa"/>
              <w:left w:w="28" w:type="dxa"/>
              <w:bottom w:w="113" w:type="dxa"/>
              <w:right w:w="28" w:type="dxa"/>
            </w:tcMar>
          </w:tcPr>
          <w:p w14:paraId="7ADC60DD" w14:textId="77777777" w:rsidR="004A7EDA" w:rsidRPr="004A7EDA" w:rsidRDefault="004A7EDA" w:rsidP="00286AE3">
            <w:pPr>
              <w:pStyle w:val="TableCopy"/>
              <w:rPr>
                <w:lang w:val="en-GB"/>
              </w:rPr>
            </w:pPr>
            <w:r w:rsidRPr="004A7EDA">
              <w:rPr>
                <w:lang w:val="en-GB"/>
              </w:rPr>
              <w:t>Exploration and mining licences which are active</w:t>
            </w:r>
          </w:p>
        </w:tc>
        <w:tc>
          <w:tcPr>
            <w:tcW w:w="1020" w:type="dxa"/>
            <w:shd w:val="clear" w:color="auto" w:fill="auto"/>
            <w:tcMar>
              <w:top w:w="113" w:type="dxa"/>
              <w:left w:w="28" w:type="dxa"/>
              <w:bottom w:w="113" w:type="dxa"/>
              <w:right w:w="28" w:type="dxa"/>
            </w:tcMar>
          </w:tcPr>
          <w:p w14:paraId="737D0873"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1EBA21E2" w14:textId="77777777" w:rsidR="004A7EDA" w:rsidRPr="004A7EDA" w:rsidRDefault="004A7EDA" w:rsidP="00286AE3">
            <w:pPr>
              <w:pStyle w:val="TableCopy"/>
              <w:rPr>
                <w:lang w:val="en-GB"/>
              </w:rPr>
            </w:pPr>
            <w:r w:rsidRPr="004A7EDA">
              <w:rPr>
                <w:lang w:val="en-GB"/>
              </w:rPr>
              <w:t>82.6</w:t>
            </w:r>
          </w:p>
        </w:tc>
        <w:tc>
          <w:tcPr>
            <w:tcW w:w="1020" w:type="dxa"/>
            <w:shd w:val="clear" w:color="auto" w:fill="auto"/>
            <w:tcMar>
              <w:top w:w="113" w:type="dxa"/>
              <w:left w:w="28" w:type="dxa"/>
              <w:bottom w:w="113" w:type="dxa"/>
              <w:right w:w="28" w:type="dxa"/>
            </w:tcMar>
          </w:tcPr>
          <w:p w14:paraId="65B2A98D" w14:textId="77777777" w:rsidR="004A7EDA" w:rsidRPr="004A7EDA" w:rsidRDefault="004A7EDA" w:rsidP="00286AE3">
            <w:pPr>
              <w:pStyle w:val="TableCopy"/>
              <w:rPr>
                <w:lang w:val="en-GB"/>
              </w:rPr>
            </w:pPr>
            <w:r w:rsidRPr="004A7EDA">
              <w:rPr>
                <w:lang w:val="en-GB"/>
              </w:rPr>
              <w:t>82.5</w:t>
            </w:r>
          </w:p>
        </w:tc>
        <w:tc>
          <w:tcPr>
            <w:tcW w:w="1380" w:type="dxa"/>
            <w:shd w:val="clear" w:color="auto" w:fill="auto"/>
            <w:tcMar>
              <w:top w:w="113" w:type="dxa"/>
              <w:left w:w="28" w:type="dxa"/>
              <w:bottom w:w="113" w:type="dxa"/>
              <w:right w:w="28" w:type="dxa"/>
            </w:tcMar>
          </w:tcPr>
          <w:p w14:paraId="121F66E2" w14:textId="77777777" w:rsidR="004A7EDA" w:rsidRPr="004A7EDA" w:rsidRDefault="004A7EDA" w:rsidP="00286AE3">
            <w:pPr>
              <w:pStyle w:val="TableCopy"/>
              <w:rPr>
                <w:lang w:val="en-GB"/>
              </w:rPr>
            </w:pPr>
            <w:r w:rsidRPr="004A7EDA">
              <w:rPr>
                <w:lang w:val="en-GB"/>
              </w:rPr>
              <w:t>0.1%</w:t>
            </w:r>
          </w:p>
        </w:tc>
        <w:tc>
          <w:tcPr>
            <w:tcW w:w="1024" w:type="dxa"/>
            <w:shd w:val="clear" w:color="auto" w:fill="auto"/>
            <w:tcMar>
              <w:top w:w="113" w:type="dxa"/>
              <w:left w:w="28" w:type="dxa"/>
              <w:bottom w:w="113" w:type="dxa"/>
              <w:right w:w="28" w:type="dxa"/>
            </w:tcMar>
          </w:tcPr>
          <w:p w14:paraId="59BAABB7" w14:textId="3B713717" w:rsidR="004A7EDA" w:rsidRPr="004A7EDA" w:rsidRDefault="00BE1D1E" w:rsidP="00286AE3">
            <w:pPr>
              <w:pStyle w:val="TableCopy"/>
              <w:rPr>
                <w:lang w:val="en-GB"/>
              </w:rPr>
            </w:pPr>
            <w:r>
              <w:rPr>
                <w:lang w:val="en-GB"/>
              </w:rPr>
              <w:t>*</w:t>
            </w:r>
          </w:p>
        </w:tc>
      </w:tr>
      <w:tr w:rsidR="004A7EDA" w:rsidRPr="00E727FE" w14:paraId="70C4BA56" w14:textId="77777777" w:rsidTr="00E727FE">
        <w:trPr>
          <w:trHeight w:val="113"/>
        </w:trPr>
        <w:tc>
          <w:tcPr>
            <w:tcW w:w="10206" w:type="dxa"/>
            <w:gridSpan w:val="6"/>
            <w:shd w:val="clear" w:color="auto" w:fill="auto"/>
            <w:tcMar>
              <w:top w:w="113" w:type="dxa"/>
              <w:left w:w="28" w:type="dxa"/>
              <w:bottom w:w="113" w:type="dxa"/>
              <w:right w:w="28" w:type="dxa"/>
            </w:tcMar>
          </w:tcPr>
          <w:p w14:paraId="4D271E5D" w14:textId="77777777" w:rsidR="004A7EDA" w:rsidRPr="00E727FE" w:rsidRDefault="004A7EDA" w:rsidP="00286AE3">
            <w:pPr>
              <w:pStyle w:val="TableCopy"/>
            </w:pPr>
            <w:r w:rsidRPr="00E727FE">
              <w:t>Timeliness</w:t>
            </w:r>
          </w:p>
        </w:tc>
      </w:tr>
      <w:tr w:rsidR="004A7EDA" w:rsidRPr="004A7EDA" w14:paraId="726CD070" w14:textId="77777777" w:rsidTr="00286AE3">
        <w:trPr>
          <w:trHeight w:val="113"/>
        </w:trPr>
        <w:tc>
          <w:tcPr>
            <w:tcW w:w="4743" w:type="dxa"/>
            <w:shd w:val="clear" w:color="auto" w:fill="auto"/>
            <w:tcMar>
              <w:top w:w="113" w:type="dxa"/>
              <w:left w:w="28" w:type="dxa"/>
              <w:bottom w:w="113" w:type="dxa"/>
              <w:right w:w="28" w:type="dxa"/>
            </w:tcMar>
          </w:tcPr>
          <w:p w14:paraId="462D6C4E" w14:textId="77777777" w:rsidR="004A7EDA" w:rsidRPr="004A7EDA" w:rsidRDefault="004A7EDA" w:rsidP="00286AE3">
            <w:pPr>
              <w:pStyle w:val="TableCopy"/>
              <w:rPr>
                <w:lang w:val="en-GB"/>
              </w:rPr>
            </w:pPr>
            <w:r w:rsidRPr="004A7EDA">
              <w:rPr>
                <w:lang w:val="en-GB"/>
              </w:rPr>
              <w:t xml:space="preserve">Delivery of key </w:t>
            </w:r>
            <w:proofErr w:type="spellStart"/>
            <w:r w:rsidRPr="004A7EDA">
              <w:rPr>
                <w:lang w:val="en-GB"/>
              </w:rPr>
              <w:t>CarbonNet</w:t>
            </w:r>
            <w:proofErr w:type="spellEnd"/>
            <w:r w:rsidRPr="004A7EDA">
              <w:rPr>
                <w:lang w:val="en-GB"/>
              </w:rPr>
              <w:t xml:space="preserve"> milestones, in line with funding agreements and agreed project deliverables</w:t>
            </w:r>
          </w:p>
        </w:tc>
        <w:tc>
          <w:tcPr>
            <w:tcW w:w="1020" w:type="dxa"/>
            <w:shd w:val="clear" w:color="auto" w:fill="auto"/>
            <w:tcMar>
              <w:top w:w="113" w:type="dxa"/>
              <w:left w:w="28" w:type="dxa"/>
              <w:bottom w:w="113" w:type="dxa"/>
              <w:right w:w="28" w:type="dxa"/>
            </w:tcMar>
          </w:tcPr>
          <w:p w14:paraId="57A0B7F0"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4BBD5697" w14:textId="77777777" w:rsidR="004A7EDA" w:rsidRPr="004A7EDA" w:rsidRDefault="004A7EDA" w:rsidP="00286AE3">
            <w:pPr>
              <w:pStyle w:val="TableCopy"/>
              <w:rPr>
                <w:lang w:val="en-GB"/>
              </w:rPr>
            </w:pPr>
            <w:r w:rsidRPr="004A7EDA">
              <w:rPr>
                <w:lang w:val="en-GB"/>
              </w:rPr>
              <w:t>81.8</w:t>
            </w:r>
          </w:p>
        </w:tc>
        <w:tc>
          <w:tcPr>
            <w:tcW w:w="1020" w:type="dxa"/>
            <w:shd w:val="clear" w:color="auto" w:fill="auto"/>
            <w:tcMar>
              <w:top w:w="113" w:type="dxa"/>
              <w:left w:w="28" w:type="dxa"/>
              <w:bottom w:w="113" w:type="dxa"/>
              <w:right w:w="28" w:type="dxa"/>
            </w:tcMar>
          </w:tcPr>
          <w:p w14:paraId="39AFC7FB" w14:textId="77777777" w:rsidR="004A7EDA" w:rsidRPr="004A7EDA" w:rsidRDefault="004A7EDA" w:rsidP="00286AE3">
            <w:pPr>
              <w:pStyle w:val="TableCopy"/>
              <w:rPr>
                <w:lang w:val="en-GB"/>
              </w:rPr>
            </w:pPr>
            <w:r w:rsidRPr="004A7EDA">
              <w:rPr>
                <w:lang w:val="en-GB"/>
              </w:rPr>
              <w:t>100</w:t>
            </w:r>
          </w:p>
        </w:tc>
        <w:tc>
          <w:tcPr>
            <w:tcW w:w="1380" w:type="dxa"/>
            <w:shd w:val="clear" w:color="auto" w:fill="auto"/>
            <w:tcMar>
              <w:top w:w="113" w:type="dxa"/>
              <w:left w:w="28" w:type="dxa"/>
              <w:bottom w:w="113" w:type="dxa"/>
              <w:right w:w="28" w:type="dxa"/>
            </w:tcMar>
          </w:tcPr>
          <w:p w14:paraId="2797BBF5" w14:textId="77777777" w:rsidR="004A7EDA" w:rsidRPr="004A7EDA" w:rsidRDefault="004A7EDA" w:rsidP="00286AE3">
            <w:pPr>
              <w:pStyle w:val="TableCopy"/>
              <w:rPr>
                <w:lang w:val="en-GB"/>
              </w:rPr>
            </w:pPr>
            <w:r w:rsidRPr="004A7EDA">
              <w:rPr>
                <w:lang w:val="en-GB"/>
              </w:rPr>
              <w:t>-18.2%</w:t>
            </w:r>
          </w:p>
        </w:tc>
        <w:tc>
          <w:tcPr>
            <w:tcW w:w="1024" w:type="dxa"/>
            <w:shd w:val="clear" w:color="auto" w:fill="auto"/>
            <w:tcMar>
              <w:top w:w="113" w:type="dxa"/>
              <w:left w:w="28" w:type="dxa"/>
              <w:bottom w:w="113" w:type="dxa"/>
              <w:right w:w="28" w:type="dxa"/>
            </w:tcMar>
          </w:tcPr>
          <w:p w14:paraId="03125C55" w14:textId="133B4188" w:rsidR="004A7EDA" w:rsidRPr="004A7EDA" w:rsidRDefault="00BE1D1E" w:rsidP="00286AE3">
            <w:pPr>
              <w:pStyle w:val="TableCopy"/>
              <w:rPr>
                <w:lang w:val="en-GB"/>
              </w:rPr>
            </w:pPr>
            <w:r>
              <w:rPr>
                <w:lang w:val="en-GB"/>
              </w:rPr>
              <w:t>#</w:t>
            </w:r>
          </w:p>
        </w:tc>
      </w:tr>
      <w:tr w:rsidR="004A7EDA" w:rsidRPr="004A7EDA" w14:paraId="3D2611B6" w14:textId="77777777" w:rsidTr="00E727FE">
        <w:trPr>
          <w:trHeight w:val="113"/>
        </w:trPr>
        <w:tc>
          <w:tcPr>
            <w:tcW w:w="10206" w:type="dxa"/>
            <w:gridSpan w:val="6"/>
            <w:shd w:val="clear" w:color="auto" w:fill="auto"/>
            <w:tcMar>
              <w:top w:w="113" w:type="dxa"/>
              <w:left w:w="113" w:type="dxa"/>
              <w:bottom w:w="113" w:type="dxa"/>
              <w:right w:w="113" w:type="dxa"/>
            </w:tcMar>
          </w:tcPr>
          <w:p w14:paraId="5385554B" w14:textId="77777777" w:rsidR="004A7EDA" w:rsidRPr="004A7EDA" w:rsidRDefault="004A7EDA" w:rsidP="00286AE3">
            <w:pPr>
              <w:pStyle w:val="TableCopy"/>
            </w:pPr>
            <w:r w:rsidRPr="004A7EDA">
              <w:t>Lower result mainly due to the impact of legislative delays impacting the submission of a regulatory application.</w:t>
            </w:r>
            <w:r w:rsidRPr="004A7EDA">
              <w:br/>
              <w:t>The application will proceed once the legislation is in place.</w:t>
            </w:r>
          </w:p>
        </w:tc>
      </w:tr>
      <w:tr w:rsidR="004A7EDA" w:rsidRPr="004A7EDA" w14:paraId="742E2C47" w14:textId="77777777" w:rsidTr="00286AE3">
        <w:trPr>
          <w:trHeight w:val="113"/>
        </w:trPr>
        <w:tc>
          <w:tcPr>
            <w:tcW w:w="4743" w:type="dxa"/>
            <w:shd w:val="clear" w:color="auto" w:fill="auto"/>
            <w:tcMar>
              <w:top w:w="113" w:type="dxa"/>
              <w:left w:w="28" w:type="dxa"/>
              <w:bottom w:w="113" w:type="dxa"/>
              <w:right w:w="28" w:type="dxa"/>
            </w:tcMar>
          </w:tcPr>
          <w:p w14:paraId="7882496E" w14:textId="77777777" w:rsidR="004A7EDA" w:rsidRPr="004A7EDA" w:rsidRDefault="004A7EDA" w:rsidP="00286AE3">
            <w:pPr>
              <w:pStyle w:val="TableCopy"/>
              <w:rPr>
                <w:lang w:val="en-GB"/>
              </w:rPr>
            </w:pPr>
            <w:r w:rsidRPr="004A7EDA">
              <w:rPr>
                <w:lang w:val="en-GB"/>
              </w:rPr>
              <w:t>Extractive Industries Work Authority work plans processed within regulatory timeframes</w:t>
            </w:r>
          </w:p>
        </w:tc>
        <w:tc>
          <w:tcPr>
            <w:tcW w:w="1020" w:type="dxa"/>
            <w:shd w:val="clear" w:color="auto" w:fill="auto"/>
            <w:tcMar>
              <w:top w:w="113" w:type="dxa"/>
              <w:left w:w="28" w:type="dxa"/>
              <w:bottom w:w="113" w:type="dxa"/>
              <w:right w:w="28" w:type="dxa"/>
            </w:tcMar>
          </w:tcPr>
          <w:p w14:paraId="39480AC1"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1BD16974" w14:textId="77777777" w:rsidR="004A7EDA" w:rsidRPr="004A7EDA" w:rsidRDefault="004A7EDA" w:rsidP="00286AE3">
            <w:pPr>
              <w:pStyle w:val="TableCopy"/>
              <w:rPr>
                <w:lang w:val="en-GB"/>
              </w:rPr>
            </w:pPr>
            <w:r w:rsidRPr="004A7EDA">
              <w:rPr>
                <w:lang w:val="en-GB"/>
              </w:rPr>
              <w:t>97</w:t>
            </w:r>
          </w:p>
        </w:tc>
        <w:tc>
          <w:tcPr>
            <w:tcW w:w="1020" w:type="dxa"/>
            <w:shd w:val="clear" w:color="auto" w:fill="auto"/>
            <w:tcMar>
              <w:top w:w="113" w:type="dxa"/>
              <w:left w:w="28" w:type="dxa"/>
              <w:bottom w:w="113" w:type="dxa"/>
              <w:right w:w="28" w:type="dxa"/>
            </w:tcMar>
          </w:tcPr>
          <w:p w14:paraId="4BC74ABA" w14:textId="77777777" w:rsidR="004A7EDA" w:rsidRPr="004A7EDA" w:rsidRDefault="004A7EDA" w:rsidP="00286AE3">
            <w:pPr>
              <w:pStyle w:val="TableCopy"/>
              <w:rPr>
                <w:lang w:val="en-GB"/>
              </w:rPr>
            </w:pPr>
            <w:r w:rsidRPr="004A7EDA">
              <w:rPr>
                <w:lang w:val="en-GB"/>
              </w:rPr>
              <w:t>95</w:t>
            </w:r>
          </w:p>
        </w:tc>
        <w:tc>
          <w:tcPr>
            <w:tcW w:w="1380" w:type="dxa"/>
            <w:shd w:val="clear" w:color="auto" w:fill="auto"/>
            <w:tcMar>
              <w:top w:w="113" w:type="dxa"/>
              <w:left w:w="28" w:type="dxa"/>
              <w:bottom w:w="113" w:type="dxa"/>
              <w:right w:w="28" w:type="dxa"/>
            </w:tcMar>
          </w:tcPr>
          <w:p w14:paraId="378A9544" w14:textId="77777777" w:rsidR="004A7EDA" w:rsidRPr="004A7EDA" w:rsidRDefault="004A7EDA" w:rsidP="00286AE3">
            <w:pPr>
              <w:pStyle w:val="TableCopy"/>
              <w:rPr>
                <w:lang w:val="en-GB"/>
              </w:rPr>
            </w:pPr>
            <w:r w:rsidRPr="004A7EDA">
              <w:rPr>
                <w:lang w:val="en-GB"/>
              </w:rPr>
              <w:t>2.1%</w:t>
            </w:r>
          </w:p>
        </w:tc>
        <w:tc>
          <w:tcPr>
            <w:tcW w:w="1024" w:type="dxa"/>
            <w:shd w:val="clear" w:color="auto" w:fill="auto"/>
            <w:tcMar>
              <w:top w:w="113" w:type="dxa"/>
              <w:left w:w="28" w:type="dxa"/>
              <w:bottom w:w="113" w:type="dxa"/>
              <w:right w:w="28" w:type="dxa"/>
            </w:tcMar>
          </w:tcPr>
          <w:p w14:paraId="5A8D276B" w14:textId="3A05264D" w:rsidR="004A7EDA" w:rsidRPr="004A7EDA" w:rsidRDefault="00BE1D1E" w:rsidP="00286AE3">
            <w:pPr>
              <w:pStyle w:val="TableCopy"/>
              <w:rPr>
                <w:lang w:val="en-GB"/>
              </w:rPr>
            </w:pPr>
            <w:r>
              <w:rPr>
                <w:lang w:val="en-GB"/>
              </w:rPr>
              <w:t>*</w:t>
            </w:r>
          </w:p>
        </w:tc>
      </w:tr>
      <w:tr w:rsidR="004A7EDA" w:rsidRPr="004A7EDA" w14:paraId="4ABA95C6" w14:textId="77777777" w:rsidTr="00286AE3">
        <w:trPr>
          <w:trHeight w:val="113"/>
        </w:trPr>
        <w:tc>
          <w:tcPr>
            <w:tcW w:w="4743" w:type="dxa"/>
            <w:shd w:val="clear" w:color="auto" w:fill="auto"/>
            <w:tcMar>
              <w:top w:w="113" w:type="dxa"/>
              <w:left w:w="28" w:type="dxa"/>
              <w:bottom w:w="113" w:type="dxa"/>
              <w:right w:w="28" w:type="dxa"/>
            </w:tcMar>
          </w:tcPr>
          <w:p w14:paraId="2A659C07" w14:textId="77777777" w:rsidR="004A7EDA" w:rsidRPr="004A7EDA" w:rsidRDefault="004A7EDA" w:rsidP="00286AE3">
            <w:pPr>
              <w:pStyle w:val="TableCopy"/>
              <w:rPr>
                <w:lang w:val="en-GB"/>
              </w:rPr>
            </w:pPr>
            <w:r w:rsidRPr="004A7EDA">
              <w:rPr>
                <w:lang w:val="en-GB"/>
              </w:rPr>
              <w:t>Facilitate the delivery of resources projects in line</w:t>
            </w:r>
            <w:r w:rsidRPr="004A7EDA">
              <w:rPr>
                <w:lang w:val="en-GB"/>
              </w:rPr>
              <w:br/>
              <w:t>with grant agreements and project milestones</w:t>
            </w:r>
          </w:p>
        </w:tc>
        <w:tc>
          <w:tcPr>
            <w:tcW w:w="1020" w:type="dxa"/>
            <w:shd w:val="clear" w:color="auto" w:fill="auto"/>
            <w:tcMar>
              <w:top w:w="113" w:type="dxa"/>
              <w:left w:w="28" w:type="dxa"/>
              <w:bottom w:w="113" w:type="dxa"/>
              <w:right w:w="28" w:type="dxa"/>
            </w:tcMar>
          </w:tcPr>
          <w:p w14:paraId="171F7251"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2C7142A0" w14:textId="77777777" w:rsidR="004A7EDA" w:rsidRPr="004A7EDA" w:rsidRDefault="004A7EDA" w:rsidP="00286AE3">
            <w:pPr>
              <w:pStyle w:val="TableCopy"/>
              <w:rPr>
                <w:lang w:val="en-GB"/>
              </w:rPr>
            </w:pPr>
            <w:r w:rsidRPr="004A7EDA">
              <w:rPr>
                <w:lang w:val="en-GB"/>
              </w:rPr>
              <w:t>82.3</w:t>
            </w:r>
          </w:p>
        </w:tc>
        <w:tc>
          <w:tcPr>
            <w:tcW w:w="1020" w:type="dxa"/>
            <w:shd w:val="clear" w:color="auto" w:fill="auto"/>
            <w:tcMar>
              <w:top w:w="113" w:type="dxa"/>
              <w:left w:w="28" w:type="dxa"/>
              <w:bottom w:w="113" w:type="dxa"/>
              <w:right w:w="28" w:type="dxa"/>
            </w:tcMar>
          </w:tcPr>
          <w:p w14:paraId="1015CC9E" w14:textId="77777777" w:rsidR="004A7EDA" w:rsidRPr="004A7EDA" w:rsidRDefault="004A7EDA" w:rsidP="00286AE3">
            <w:pPr>
              <w:pStyle w:val="TableCopy"/>
              <w:rPr>
                <w:lang w:val="en-GB"/>
              </w:rPr>
            </w:pPr>
            <w:r w:rsidRPr="004A7EDA">
              <w:rPr>
                <w:lang w:val="en-GB"/>
              </w:rPr>
              <w:t>100</w:t>
            </w:r>
          </w:p>
        </w:tc>
        <w:tc>
          <w:tcPr>
            <w:tcW w:w="1380" w:type="dxa"/>
            <w:shd w:val="clear" w:color="auto" w:fill="auto"/>
            <w:tcMar>
              <w:top w:w="113" w:type="dxa"/>
              <w:left w:w="28" w:type="dxa"/>
              <w:bottom w:w="113" w:type="dxa"/>
              <w:right w:w="28" w:type="dxa"/>
            </w:tcMar>
          </w:tcPr>
          <w:p w14:paraId="2F5790BB" w14:textId="77777777" w:rsidR="004A7EDA" w:rsidRPr="004A7EDA" w:rsidRDefault="004A7EDA" w:rsidP="00286AE3">
            <w:pPr>
              <w:pStyle w:val="TableCopy"/>
              <w:rPr>
                <w:lang w:val="en-GB"/>
              </w:rPr>
            </w:pPr>
            <w:r w:rsidRPr="004A7EDA">
              <w:rPr>
                <w:lang w:val="en-GB"/>
              </w:rPr>
              <w:t>-17.7%</w:t>
            </w:r>
          </w:p>
        </w:tc>
        <w:tc>
          <w:tcPr>
            <w:tcW w:w="1024" w:type="dxa"/>
            <w:shd w:val="clear" w:color="auto" w:fill="auto"/>
            <w:tcMar>
              <w:top w:w="113" w:type="dxa"/>
              <w:left w:w="28" w:type="dxa"/>
              <w:bottom w:w="113" w:type="dxa"/>
              <w:right w:w="28" w:type="dxa"/>
            </w:tcMar>
          </w:tcPr>
          <w:p w14:paraId="4D582CC6" w14:textId="441E0967" w:rsidR="004A7EDA" w:rsidRPr="004A7EDA" w:rsidRDefault="00BE1D1E" w:rsidP="00286AE3">
            <w:pPr>
              <w:pStyle w:val="TableCopy"/>
              <w:rPr>
                <w:lang w:val="en-GB"/>
              </w:rPr>
            </w:pPr>
            <w:r>
              <w:rPr>
                <w:lang w:val="en-GB"/>
              </w:rPr>
              <w:t>#</w:t>
            </w:r>
          </w:p>
        </w:tc>
      </w:tr>
      <w:tr w:rsidR="004A7EDA" w:rsidRPr="004A7EDA" w14:paraId="627E525B" w14:textId="77777777" w:rsidTr="00E727FE">
        <w:trPr>
          <w:trHeight w:val="113"/>
        </w:trPr>
        <w:tc>
          <w:tcPr>
            <w:tcW w:w="10206" w:type="dxa"/>
            <w:gridSpan w:val="6"/>
            <w:shd w:val="clear" w:color="auto" w:fill="auto"/>
            <w:tcMar>
              <w:top w:w="113" w:type="dxa"/>
              <w:left w:w="113" w:type="dxa"/>
              <w:bottom w:w="113" w:type="dxa"/>
              <w:right w:w="113" w:type="dxa"/>
            </w:tcMar>
          </w:tcPr>
          <w:p w14:paraId="7310B1B5" w14:textId="77777777" w:rsidR="004A7EDA" w:rsidRPr="004A7EDA" w:rsidRDefault="004A7EDA" w:rsidP="00286AE3">
            <w:pPr>
              <w:pStyle w:val="TableCopy"/>
            </w:pPr>
            <w:r w:rsidRPr="004A7EDA">
              <w:t>Lower result mainly due to the impact of delays in obtaining native title approvals delaying the award of TARGET exploration grants, and scheduling delays for other programs.</w:t>
            </w:r>
          </w:p>
        </w:tc>
      </w:tr>
      <w:tr w:rsidR="004A7EDA" w:rsidRPr="004A7EDA" w14:paraId="12B1ECCE" w14:textId="77777777" w:rsidTr="00286AE3">
        <w:trPr>
          <w:trHeight w:val="113"/>
        </w:trPr>
        <w:tc>
          <w:tcPr>
            <w:tcW w:w="4743" w:type="dxa"/>
            <w:shd w:val="clear" w:color="auto" w:fill="auto"/>
            <w:tcMar>
              <w:top w:w="113" w:type="dxa"/>
              <w:left w:w="28" w:type="dxa"/>
              <w:bottom w:w="113" w:type="dxa"/>
              <w:right w:w="28" w:type="dxa"/>
            </w:tcMar>
          </w:tcPr>
          <w:p w14:paraId="232A5297" w14:textId="77777777" w:rsidR="004A7EDA" w:rsidRPr="004A7EDA" w:rsidRDefault="004A7EDA" w:rsidP="00286AE3">
            <w:pPr>
              <w:pStyle w:val="TableCopy"/>
              <w:rPr>
                <w:lang w:val="en-GB"/>
              </w:rPr>
            </w:pPr>
            <w:r w:rsidRPr="004A7EDA">
              <w:rPr>
                <w:lang w:val="en-GB"/>
              </w:rPr>
              <w:t>Industry geoscience data packages released</w:t>
            </w:r>
            <w:r w:rsidRPr="004A7EDA">
              <w:rPr>
                <w:lang w:val="en-GB"/>
              </w:rPr>
              <w:br/>
              <w:t>for minerals and petroleum sectors consistent</w:t>
            </w:r>
            <w:r w:rsidRPr="004A7EDA">
              <w:rPr>
                <w:lang w:val="en-GB"/>
              </w:rPr>
              <w:br/>
              <w:t>with agreed timelines</w:t>
            </w:r>
          </w:p>
        </w:tc>
        <w:tc>
          <w:tcPr>
            <w:tcW w:w="1020" w:type="dxa"/>
            <w:shd w:val="clear" w:color="auto" w:fill="auto"/>
            <w:tcMar>
              <w:top w:w="113" w:type="dxa"/>
              <w:left w:w="28" w:type="dxa"/>
              <w:bottom w:w="113" w:type="dxa"/>
              <w:right w:w="28" w:type="dxa"/>
            </w:tcMar>
          </w:tcPr>
          <w:p w14:paraId="29AF230E" w14:textId="77777777" w:rsidR="004A7EDA" w:rsidRPr="004A7EDA" w:rsidRDefault="004A7EDA" w:rsidP="00286AE3">
            <w:pPr>
              <w:pStyle w:val="TableCopy"/>
              <w:rPr>
                <w:lang w:val="en-GB"/>
              </w:rPr>
            </w:pPr>
            <w:r w:rsidRPr="004A7EDA">
              <w:rPr>
                <w:lang w:val="en-GB"/>
              </w:rPr>
              <w:t>number</w:t>
            </w:r>
          </w:p>
        </w:tc>
        <w:tc>
          <w:tcPr>
            <w:tcW w:w="1019" w:type="dxa"/>
            <w:shd w:val="clear" w:color="auto" w:fill="auto"/>
            <w:tcMar>
              <w:top w:w="113" w:type="dxa"/>
              <w:left w:w="28" w:type="dxa"/>
              <w:bottom w:w="113" w:type="dxa"/>
              <w:right w:w="28" w:type="dxa"/>
            </w:tcMar>
          </w:tcPr>
          <w:p w14:paraId="3EE08C67" w14:textId="77777777" w:rsidR="004A7EDA" w:rsidRPr="004A7EDA" w:rsidRDefault="004A7EDA" w:rsidP="00286AE3">
            <w:pPr>
              <w:pStyle w:val="TableCopy"/>
              <w:rPr>
                <w:lang w:val="en-GB"/>
              </w:rPr>
            </w:pPr>
            <w:r w:rsidRPr="004A7EDA">
              <w:rPr>
                <w:lang w:val="en-GB"/>
              </w:rPr>
              <w:t>10</w:t>
            </w:r>
          </w:p>
        </w:tc>
        <w:tc>
          <w:tcPr>
            <w:tcW w:w="1020" w:type="dxa"/>
            <w:shd w:val="clear" w:color="auto" w:fill="auto"/>
            <w:tcMar>
              <w:top w:w="113" w:type="dxa"/>
              <w:left w:w="28" w:type="dxa"/>
              <w:bottom w:w="113" w:type="dxa"/>
              <w:right w:w="28" w:type="dxa"/>
            </w:tcMar>
          </w:tcPr>
          <w:p w14:paraId="47772DB9" w14:textId="77777777" w:rsidR="004A7EDA" w:rsidRPr="004A7EDA" w:rsidRDefault="004A7EDA" w:rsidP="00286AE3">
            <w:pPr>
              <w:pStyle w:val="TableCopy"/>
              <w:rPr>
                <w:lang w:val="en-GB"/>
              </w:rPr>
            </w:pPr>
            <w:r w:rsidRPr="004A7EDA">
              <w:rPr>
                <w:lang w:val="en-GB"/>
              </w:rPr>
              <w:t>10</w:t>
            </w:r>
          </w:p>
        </w:tc>
        <w:tc>
          <w:tcPr>
            <w:tcW w:w="1380" w:type="dxa"/>
            <w:shd w:val="clear" w:color="auto" w:fill="auto"/>
            <w:tcMar>
              <w:top w:w="113" w:type="dxa"/>
              <w:left w:w="28" w:type="dxa"/>
              <w:bottom w:w="113" w:type="dxa"/>
              <w:right w:w="28" w:type="dxa"/>
            </w:tcMar>
          </w:tcPr>
          <w:p w14:paraId="4221F809" w14:textId="77777777" w:rsidR="004A7EDA" w:rsidRPr="004A7EDA" w:rsidRDefault="004A7EDA" w:rsidP="00286AE3">
            <w:pPr>
              <w:pStyle w:val="TableCopy"/>
              <w:rPr>
                <w:lang w:val="en-GB"/>
              </w:rPr>
            </w:pPr>
            <w:r w:rsidRPr="004A7EDA">
              <w:rPr>
                <w:lang w:val="en-GB"/>
              </w:rPr>
              <w:t>0.0%</w:t>
            </w:r>
          </w:p>
        </w:tc>
        <w:tc>
          <w:tcPr>
            <w:tcW w:w="1024" w:type="dxa"/>
            <w:shd w:val="clear" w:color="auto" w:fill="auto"/>
            <w:tcMar>
              <w:top w:w="113" w:type="dxa"/>
              <w:left w:w="28" w:type="dxa"/>
              <w:bottom w:w="113" w:type="dxa"/>
              <w:right w:w="28" w:type="dxa"/>
            </w:tcMar>
          </w:tcPr>
          <w:p w14:paraId="2C354557" w14:textId="05BB13AC" w:rsidR="004A7EDA" w:rsidRPr="004A7EDA" w:rsidRDefault="00BE1D1E" w:rsidP="00286AE3">
            <w:pPr>
              <w:pStyle w:val="TableCopy"/>
              <w:rPr>
                <w:lang w:val="en-GB"/>
              </w:rPr>
            </w:pPr>
            <w:r>
              <w:rPr>
                <w:lang w:val="en-GB"/>
              </w:rPr>
              <w:t>*</w:t>
            </w:r>
          </w:p>
        </w:tc>
      </w:tr>
      <w:tr w:rsidR="004A7EDA" w:rsidRPr="004A7EDA" w14:paraId="5FB98299" w14:textId="77777777" w:rsidTr="00286AE3">
        <w:trPr>
          <w:trHeight w:val="113"/>
        </w:trPr>
        <w:tc>
          <w:tcPr>
            <w:tcW w:w="4743" w:type="dxa"/>
            <w:shd w:val="clear" w:color="auto" w:fill="auto"/>
            <w:tcMar>
              <w:top w:w="113" w:type="dxa"/>
              <w:left w:w="28" w:type="dxa"/>
              <w:bottom w:w="113" w:type="dxa"/>
              <w:right w:w="28" w:type="dxa"/>
            </w:tcMar>
          </w:tcPr>
          <w:p w14:paraId="4ED65847" w14:textId="77777777" w:rsidR="004A7EDA" w:rsidRPr="004A7EDA" w:rsidRDefault="004A7EDA" w:rsidP="00286AE3">
            <w:pPr>
              <w:pStyle w:val="TableCopy"/>
              <w:rPr>
                <w:lang w:val="en-GB"/>
              </w:rPr>
            </w:pPr>
            <w:r w:rsidRPr="004A7EDA">
              <w:rPr>
                <w:lang w:val="en-GB"/>
              </w:rPr>
              <w:t>Mineral licence applications and work plans processed within regulatory timeframes</w:t>
            </w:r>
          </w:p>
        </w:tc>
        <w:tc>
          <w:tcPr>
            <w:tcW w:w="1020" w:type="dxa"/>
            <w:shd w:val="clear" w:color="auto" w:fill="auto"/>
            <w:tcMar>
              <w:top w:w="113" w:type="dxa"/>
              <w:left w:w="28" w:type="dxa"/>
              <w:bottom w:w="113" w:type="dxa"/>
              <w:right w:w="28" w:type="dxa"/>
            </w:tcMar>
          </w:tcPr>
          <w:p w14:paraId="1005738A"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3C2E1D25" w14:textId="77777777" w:rsidR="004A7EDA" w:rsidRPr="004A7EDA" w:rsidRDefault="004A7EDA" w:rsidP="00286AE3">
            <w:pPr>
              <w:pStyle w:val="TableCopy"/>
              <w:rPr>
                <w:lang w:val="en-GB"/>
              </w:rPr>
            </w:pPr>
            <w:r w:rsidRPr="004A7EDA">
              <w:rPr>
                <w:lang w:val="en-GB"/>
              </w:rPr>
              <w:t>71.3</w:t>
            </w:r>
          </w:p>
        </w:tc>
        <w:tc>
          <w:tcPr>
            <w:tcW w:w="1020" w:type="dxa"/>
            <w:shd w:val="clear" w:color="auto" w:fill="auto"/>
            <w:tcMar>
              <w:top w:w="113" w:type="dxa"/>
              <w:left w:w="28" w:type="dxa"/>
              <w:bottom w:w="113" w:type="dxa"/>
              <w:right w:w="28" w:type="dxa"/>
            </w:tcMar>
          </w:tcPr>
          <w:p w14:paraId="5020EE21" w14:textId="77777777" w:rsidR="004A7EDA" w:rsidRPr="004A7EDA" w:rsidRDefault="004A7EDA" w:rsidP="00286AE3">
            <w:pPr>
              <w:pStyle w:val="TableCopy"/>
              <w:rPr>
                <w:lang w:val="en-GB"/>
              </w:rPr>
            </w:pPr>
            <w:r w:rsidRPr="004A7EDA">
              <w:rPr>
                <w:lang w:val="en-GB"/>
              </w:rPr>
              <w:t>95</w:t>
            </w:r>
          </w:p>
        </w:tc>
        <w:tc>
          <w:tcPr>
            <w:tcW w:w="1380" w:type="dxa"/>
            <w:shd w:val="clear" w:color="auto" w:fill="auto"/>
            <w:tcMar>
              <w:top w:w="113" w:type="dxa"/>
              <w:left w:w="28" w:type="dxa"/>
              <w:bottom w:w="113" w:type="dxa"/>
              <w:right w:w="28" w:type="dxa"/>
            </w:tcMar>
          </w:tcPr>
          <w:p w14:paraId="1A5C5217" w14:textId="77777777" w:rsidR="004A7EDA" w:rsidRPr="004A7EDA" w:rsidRDefault="004A7EDA" w:rsidP="00286AE3">
            <w:pPr>
              <w:pStyle w:val="TableCopy"/>
              <w:rPr>
                <w:lang w:val="en-GB"/>
              </w:rPr>
            </w:pPr>
            <w:r w:rsidRPr="004A7EDA">
              <w:rPr>
                <w:lang w:val="en-GB"/>
              </w:rPr>
              <w:t>-24.9%</w:t>
            </w:r>
          </w:p>
        </w:tc>
        <w:tc>
          <w:tcPr>
            <w:tcW w:w="1024" w:type="dxa"/>
            <w:shd w:val="clear" w:color="auto" w:fill="auto"/>
            <w:tcMar>
              <w:top w:w="113" w:type="dxa"/>
              <w:left w:w="28" w:type="dxa"/>
              <w:bottom w:w="113" w:type="dxa"/>
              <w:right w:w="28" w:type="dxa"/>
            </w:tcMar>
          </w:tcPr>
          <w:p w14:paraId="62C5F79F" w14:textId="76052651" w:rsidR="004A7EDA" w:rsidRPr="004A7EDA" w:rsidRDefault="00BE1D1E" w:rsidP="00286AE3">
            <w:pPr>
              <w:pStyle w:val="TableCopy"/>
              <w:rPr>
                <w:lang w:val="en-GB"/>
              </w:rPr>
            </w:pPr>
            <w:r>
              <w:rPr>
                <w:lang w:val="en-GB"/>
              </w:rPr>
              <w:t>#</w:t>
            </w:r>
          </w:p>
        </w:tc>
      </w:tr>
      <w:tr w:rsidR="004A7EDA" w:rsidRPr="004A7EDA" w14:paraId="66F8E7D9" w14:textId="77777777" w:rsidTr="00E727FE">
        <w:trPr>
          <w:trHeight w:val="113"/>
        </w:trPr>
        <w:tc>
          <w:tcPr>
            <w:tcW w:w="10206" w:type="dxa"/>
            <w:gridSpan w:val="6"/>
            <w:shd w:val="clear" w:color="auto" w:fill="auto"/>
            <w:tcMar>
              <w:top w:w="113" w:type="dxa"/>
              <w:left w:w="113" w:type="dxa"/>
              <w:bottom w:w="113" w:type="dxa"/>
              <w:right w:w="113" w:type="dxa"/>
            </w:tcMar>
          </w:tcPr>
          <w:p w14:paraId="6AD420BD" w14:textId="77777777" w:rsidR="004A7EDA" w:rsidRPr="004A7EDA" w:rsidRDefault="004A7EDA" w:rsidP="00286AE3">
            <w:pPr>
              <w:pStyle w:val="TableCopy"/>
            </w:pPr>
            <w:r w:rsidRPr="004A7EDA">
              <w:lastRenderedPageBreak/>
              <w:t>Lower result due to the impact of the record level of minerals exploration activity in Victoria, driving a significant increase in the volume of licence applications.</w:t>
            </w:r>
          </w:p>
        </w:tc>
      </w:tr>
      <w:tr w:rsidR="004A7EDA" w:rsidRPr="004A7EDA" w14:paraId="429C8382" w14:textId="77777777" w:rsidTr="00286AE3">
        <w:trPr>
          <w:trHeight w:val="113"/>
        </w:trPr>
        <w:tc>
          <w:tcPr>
            <w:tcW w:w="4743" w:type="dxa"/>
            <w:shd w:val="clear" w:color="auto" w:fill="auto"/>
            <w:tcMar>
              <w:top w:w="113" w:type="dxa"/>
              <w:left w:w="28" w:type="dxa"/>
              <w:bottom w:w="113" w:type="dxa"/>
              <w:right w:w="28" w:type="dxa"/>
            </w:tcMar>
          </w:tcPr>
          <w:p w14:paraId="75E34CF7" w14:textId="77777777" w:rsidR="004A7EDA" w:rsidRPr="004A7EDA" w:rsidRDefault="004A7EDA" w:rsidP="00286AE3">
            <w:pPr>
              <w:pStyle w:val="TableCopy"/>
              <w:rPr>
                <w:lang w:val="en-GB"/>
              </w:rPr>
            </w:pPr>
            <w:r w:rsidRPr="004A7EDA">
              <w:rPr>
                <w:lang w:val="en-GB"/>
              </w:rPr>
              <w:t>Regulatory audits completed within agreed timelines</w:t>
            </w:r>
          </w:p>
        </w:tc>
        <w:tc>
          <w:tcPr>
            <w:tcW w:w="1020" w:type="dxa"/>
            <w:shd w:val="clear" w:color="auto" w:fill="auto"/>
            <w:tcMar>
              <w:top w:w="113" w:type="dxa"/>
              <w:left w:w="28" w:type="dxa"/>
              <w:bottom w:w="113" w:type="dxa"/>
              <w:right w:w="28" w:type="dxa"/>
            </w:tcMar>
          </w:tcPr>
          <w:p w14:paraId="2C0C9778" w14:textId="77777777" w:rsidR="004A7EDA" w:rsidRPr="004A7EDA" w:rsidRDefault="004A7EDA" w:rsidP="00286AE3">
            <w:pPr>
              <w:pStyle w:val="TableCopy"/>
              <w:rPr>
                <w:lang w:val="en-GB"/>
              </w:rPr>
            </w:pPr>
            <w:r w:rsidRPr="004A7EDA">
              <w:rPr>
                <w:lang w:val="en-GB"/>
              </w:rPr>
              <w:t>per cent</w:t>
            </w:r>
          </w:p>
        </w:tc>
        <w:tc>
          <w:tcPr>
            <w:tcW w:w="1019" w:type="dxa"/>
            <w:shd w:val="clear" w:color="auto" w:fill="auto"/>
            <w:tcMar>
              <w:top w:w="113" w:type="dxa"/>
              <w:left w:w="28" w:type="dxa"/>
              <w:bottom w:w="113" w:type="dxa"/>
              <w:right w:w="28" w:type="dxa"/>
            </w:tcMar>
          </w:tcPr>
          <w:p w14:paraId="7A1B9442" w14:textId="77777777" w:rsidR="004A7EDA" w:rsidRPr="004A7EDA" w:rsidRDefault="004A7EDA" w:rsidP="00286AE3">
            <w:pPr>
              <w:pStyle w:val="TableCopy"/>
              <w:rPr>
                <w:lang w:val="en-GB"/>
              </w:rPr>
            </w:pPr>
            <w:r w:rsidRPr="004A7EDA">
              <w:rPr>
                <w:lang w:val="en-GB"/>
              </w:rPr>
              <w:t>98.6</w:t>
            </w:r>
          </w:p>
        </w:tc>
        <w:tc>
          <w:tcPr>
            <w:tcW w:w="1020" w:type="dxa"/>
            <w:shd w:val="clear" w:color="auto" w:fill="auto"/>
            <w:tcMar>
              <w:top w:w="113" w:type="dxa"/>
              <w:left w:w="28" w:type="dxa"/>
              <w:bottom w:w="113" w:type="dxa"/>
              <w:right w:w="28" w:type="dxa"/>
            </w:tcMar>
          </w:tcPr>
          <w:p w14:paraId="0F1394A0" w14:textId="77777777" w:rsidR="004A7EDA" w:rsidRPr="004A7EDA" w:rsidRDefault="004A7EDA" w:rsidP="00286AE3">
            <w:pPr>
              <w:pStyle w:val="TableCopy"/>
              <w:rPr>
                <w:lang w:val="en-GB"/>
              </w:rPr>
            </w:pPr>
            <w:r w:rsidRPr="004A7EDA">
              <w:rPr>
                <w:lang w:val="en-GB"/>
              </w:rPr>
              <w:t>98</w:t>
            </w:r>
          </w:p>
        </w:tc>
        <w:tc>
          <w:tcPr>
            <w:tcW w:w="1380" w:type="dxa"/>
            <w:shd w:val="clear" w:color="auto" w:fill="auto"/>
            <w:tcMar>
              <w:top w:w="113" w:type="dxa"/>
              <w:left w:w="28" w:type="dxa"/>
              <w:bottom w:w="113" w:type="dxa"/>
              <w:right w:w="28" w:type="dxa"/>
            </w:tcMar>
          </w:tcPr>
          <w:p w14:paraId="7D398049" w14:textId="77777777" w:rsidR="004A7EDA" w:rsidRPr="004A7EDA" w:rsidRDefault="004A7EDA" w:rsidP="00286AE3">
            <w:pPr>
              <w:pStyle w:val="TableCopy"/>
              <w:rPr>
                <w:lang w:val="en-GB"/>
              </w:rPr>
            </w:pPr>
            <w:r w:rsidRPr="004A7EDA">
              <w:rPr>
                <w:lang w:val="en-GB"/>
              </w:rPr>
              <w:t>0.6%</w:t>
            </w:r>
          </w:p>
        </w:tc>
        <w:tc>
          <w:tcPr>
            <w:tcW w:w="1024" w:type="dxa"/>
            <w:shd w:val="clear" w:color="auto" w:fill="auto"/>
            <w:tcMar>
              <w:top w:w="113" w:type="dxa"/>
              <w:left w:w="28" w:type="dxa"/>
              <w:bottom w:w="113" w:type="dxa"/>
              <w:right w:w="28" w:type="dxa"/>
            </w:tcMar>
          </w:tcPr>
          <w:p w14:paraId="21FB5945" w14:textId="7BB4ABB8" w:rsidR="004A7EDA" w:rsidRPr="004A7EDA" w:rsidRDefault="00BE1D1E" w:rsidP="00286AE3">
            <w:pPr>
              <w:pStyle w:val="TableCopy"/>
              <w:rPr>
                <w:lang w:val="en-GB"/>
              </w:rPr>
            </w:pPr>
            <w:r>
              <w:rPr>
                <w:lang w:val="en-GB"/>
              </w:rPr>
              <w:t>*</w:t>
            </w:r>
          </w:p>
        </w:tc>
      </w:tr>
      <w:tr w:rsidR="004A7EDA" w:rsidRPr="004A7EDA" w14:paraId="58E0BB87" w14:textId="77777777" w:rsidTr="00E727FE">
        <w:trPr>
          <w:trHeight w:val="113"/>
        </w:trPr>
        <w:tc>
          <w:tcPr>
            <w:tcW w:w="10206" w:type="dxa"/>
            <w:gridSpan w:val="6"/>
            <w:shd w:val="clear" w:color="auto" w:fill="auto"/>
            <w:tcMar>
              <w:top w:w="113" w:type="dxa"/>
              <w:left w:w="28" w:type="dxa"/>
              <w:bottom w:w="113" w:type="dxa"/>
              <w:right w:w="28" w:type="dxa"/>
            </w:tcMar>
          </w:tcPr>
          <w:p w14:paraId="096DEB18" w14:textId="77777777" w:rsidR="004A7EDA" w:rsidRPr="004A7EDA" w:rsidRDefault="004A7EDA" w:rsidP="00286AE3">
            <w:pPr>
              <w:pStyle w:val="TableCopy"/>
              <w:rPr>
                <w:lang w:val="en-GB"/>
              </w:rPr>
            </w:pPr>
            <w:r w:rsidRPr="004A7EDA">
              <w:rPr>
                <w:lang w:val="en-GB"/>
              </w:rPr>
              <w:t>Cost</w:t>
            </w:r>
          </w:p>
        </w:tc>
      </w:tr>
      <w:tr w:rsidR="004A7EDA" w:rsidRPr="004A7EDA" w14:paraId="7F8BE7BE" w14:textId="77777777" w:rsidTr="00286AE3">
        <w:trPr>
          <w:trHeight w:val="113"/>
        </w:trPr>
        <w:tc>
          <w:tcPr>
            <w:tcW w:w="4743" w:type="dxa"/>
            <w:shd w:val="clear" w:color="auto" w:fill="auto"/>
            <w:tcMar>
              <w:top w:w="113" w:type="dxa"/>
              <w:left w:w="28" w:type="dxa"/>
              <w:bottom w:w="113" w:type="dxa"/>
              <w:right w:w="28" w:type="dxa"/>
            </w:tcMar>
          </w:tcPr>
          <w:p w14:paraId="408712A5" w14:textId="77777777" w:rsidR="004A7EDA" w:rsidRPr="004A7EDA" w:rsidRDefault="004A7EDA" w:rsidP="00286AE3">
            <w:pPr>
              <w:pStyle w:val="TableCopy"/>
              <w:rPr>
                <w:lang w:val="en-GB"/>
              </w:rPr>
            </w:pPr>
            <w:r w:rsidRPr="004A7EDA">
              <w:rPr>
                <w:lang w:val="en-GB"/>
              </w:rPr>
              <w:t>Total output cost</w:t>
            </w:r>
          </w:p>
        </w:tc>
        <w:tc>
          <w:tcPr>
            <w:tcW w:w="1020" w:type="dxa"/>
            <w:shd w:val="clear" w:color="auto" w:fill="auto"/>
            <w:tcMar>
              <w:top w:w="113" w:type="dxa"/>
              <w:left w:w="28" w:type="dxa"/>
              <w:bottom w:w="113" w:type="dxa"/>
              <w:right w:w="28" w:type="dxa"/>
            </w:tcMar>
          </w:tcPr>
          <w:p w14:paraId="18E30D4D" w14:textId="77777777" w:rsidR="004A7EDA" w:rsidRPr="004A7EDA" w:rsidRDefault="004A7EDA" w:rsidP="00286AE3">
            <w:pPr>
              <w:pStyle w:val="TableCopy"/>
              <w:rPr>
                <w:lang w:val="en-GB"/>
              </w:rPr>
            </w:pPr>
            <w:r w:rsidRPr="004A7EDA">
              <w:rPr>
                <w:lang w:val="en-GB"/>
              </w:rPr>
              <w:t>$ million</w:t>
            </w:r>
          </w:p>
        </w:tc>
        <w:tc>
          <w:tcPr>
            <w:tcW w:w="1019" w:type="dxa"/>
            <w:shd w:val="clear" w:color="auto" w:fill="auto"/>
            <w:tcMar>
              <w:top w:w="113" w:type="dxa"/>
              <w:left w:w="28" w:type="dxa"/>
              <w:bottom w:w="113" w:type="dxa"/>
              <w:right w:w="28" w:type="dxa"/>
            </w:tcMar>
          </w:tcPr>
          <w:p w14:paraId="5981EFC7" w14:textId="77777777" w:rsidR="004A7EDA" w:rsidRPr="004A7EDA" w:rsidRDefault="004A7EDA" w:rsidP="00286AE3">
            <w:pPr>
              <w:pStyle w:val="TableCopy"/>
              <w:rPr>
                <w:lang w:val="en-GB"/>
              </w:rPr>
            </w:pPr>
            <w:r w:rsidRPr="004A7EDA">
              <w:rPr>
                <w:lang w:val="en-GB"/>
              </w:rPr>
              <w:t>74.6</w:t>
            </w:r>
          </w:p>
        </w:tc>
        <w:tc>
          <w:tcPr>
            <w:tcW w:w="1020" w:type="dxa"/>
            <w:shd w:val="clear" w:color="auto" w:fill="auto"/>
            <w:tcMar>
              <w:top w:w="113" w:type="dxa"/>
              <w:left w:w="28" w:type="dxa"/>
              <w:bottom w:w="113" w:type="dxa"/>
              <w:right w:w="28" w:type="dxa"/>
            </w:tcMar>
          </w:tcPr>
          <w:p w14:paraId="68D896F5" w14:textId="77777777" w:rsidR="004A7EDA" w:rsidRPr="004A7EDA" w:rsidRDefault="004A7EDA" w:rsidP="00286AE3">
            <w:pPr>
              <w:pStyle w:val="TableCopy"/>
              <w:rPr>
                <w:lang w:val="en-GB"/>
              </w:rPr>
            </w:pPr>
            <w:r w:rsidRPr="004A7EDA">
              <w:rPr>
                <w:lang w:val="en-GB"/>
              </w:rPr>
              <w:t>73.2</w:t>
            </w:r>
          </w:p>
        </w:tc>
        <w:tc>
          <w:tcPr>
            <w:tcW w:w="1380" w:type="dxa"/>
            <w:shd w:val="clear" w:color="auto" w:fill="auto"/>
            <w:tcMar>
              <w:top w:w="113" w:type="dxa"/>
              <w:left w:w="28" w:type="dxa"/>
              <w:bottom w:w="113" w:type="dxa"/>
              <w:right w:w="28" w:type="dxa"/>
            </w:tcMar>
          </w:tcPr>
          <w:p w14:paraId="582423E6" w14:textId="77777777" w:rsidR="004A7EDA" w:rsidRPr="004A7EDA" w:rsidRDefault="004A7EDA" w:rsidP="00286AE3">
            <w:pPr>
              <w:pStyle w:val="TableCopy"/>
              <w:rPr>
                <w:lang w:val="en-GB"/>
              </w:rPr>
            </w:pPr>
            <w:r w:rsidRPr="004A7EDA">
              <w:rPr>
                <w:lang w:val="en-GB"/>
              </w:rPr>
              <w:t>2.0%</w:t>
            </w:r>
          </w:p>
        </w:tc>
        <w:tc>
          <w:tcPr>
            <w:tcW w:w="1024" w:type="dxa"/>
            <w:shd w:val="clear" w:color="auto" w:fill="auto"/>
            <w:tcMar>
              <w:top w:w="113" w:type="dxa"/>
              <w:left w:w="28" w:type="dxa"/>
              <w:bottom w:w="113" w:type="dxa"/>
              <w:right w:w="28" w:type="dxa"/>
            </w:tcMar>
          </w:tcPr>
          <w:p w14:paraId="7D8201CC" w14:textId="176C6009" w:rsidR="004A7EDA" w:rsidRPr="004A7EDA" w:rsidRDefault="00BE1D1E" w:rsidP="00286AE3">
            <w:pPr>
              <w:pStyle w:val="TableCopy"/>
              <w:rPr>
                <w:lang w:val="en-GB"/>
              </w:rPr>
            </w:pPr>
            <w:r>
              <w:rPr>
                <w:lang w:val="en-GB"/>
              </w:rPr>
              <w:t>–</w:t>
            </w:r>
          </w:p>
        </w:tc>
      </w:tr>
      <w:tr w:rsidR="00286AE3" w:rsidRPr="004A7EDA" w14:paraId="23E32B6E" w14:textId="77777777" w:rsidTr="00286AE3">
        <w:trPr>
          <w:trHeight w:val="113"/>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tcMar>
              <w:top w:w="113" w:type="dxa"/>
              <w:left w:w="28" w:type="dxa"/>
              <w:bottom w:w="113" w:type="dxa"/>
              <w:right w:w="28" w:type="dxa"/>
            </w:tcMar>
          </w:tcPr>
          <w:p w14:paraId="056F8F90" w14:textId="77777777" w:rsidR="00286AE3" w:rsidRPr="004A7EDA" w:rsidRDefault="00286AE3" w:rsidP="002232A1">
            <w:pPr>
              <w:pStyle w:val="TableCopy"/>
            </w:pPr>
            <w:r w:rsidRPr="004A7EDA">
              <w:t>Note:</w:t>
            </w:r>
            <w:r w:rsidRPr="004A7EDA">
              <w:t> </w:t>
            </w:r>
            <w:r w:rsidRPr="004A7EDA">
              <w:br/>
            </w:r>
            <w:r>
              <w:t>*</w:t>
            </w:r>
            <w:r w:rsidRPr="004A7EDA">
              <w:t xml:space="preserve"> Performance target achieved or exceeded</w:t>
            </w:r>
            <w:r w:rsidRPr="004A7EDA">
              <w:br/>
            </w:r>
            <w:r>
              <w:t>–</w:t>
            </w:r>
            <w:r w:rsidRPr="004A7EDA">
              <w:t xml:space="preserve"> Performance target not achieved – within 5 per cent variance</w:t>
            </w:r>
            <w:r w:rsidRPr="004A7EDA">
              <w:br/>
            </w:r>
            <w:r>
              <w:t>#</w:t>
            </w:r>
            <w:r w:rsidRPr="004A7EDA">
              <w:t xml:space="preserve"> Performance target not achieved – exceeds 5 per cent variance</w:t>
            </w:r>
          </w:p>
        </w:tc>
      </w:tr>
    </w:tbl>
    <w:p w14:paraId="01705673" w14:textId="7845F109" w:rsidR="00E56313" w:rsidRDefault="00E56313" w:rsidP="00286AE3"/>
    <w:sectPr w:rsidR="00E56313" w:rsidSect="002F01A7">
      <w:footerReference w:type="even" r:id="rId4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25BCC" w14:textId="77777777" w:rsidR="00690BFF" w:rsidRDefault="00690BFF" w:rsidP="00E56313">
      <w:r>
        <w:separator/>
      </w:r>
    </w:p>
    <w:p w14:paraId="11F88824" w14:textId="77777777" w:rsidR="00690BFF" w:rsidRDefault="00690BFF" w:rsidP="00E56313"/>
    <w:p w14:paraId="068B7731" w14:textId="77777777" w:rsidR="00690BFF" w:rsidRDefault="00690BFF" w:rsidP="00E56313"/>
  </w:endnote>
  <w:endnote w:type="continuationSeparator" w:id="0">
    <w:p w14:paraId="4ED59E08" w14:textId="77777777" w:rsidR="00690BFF" w:rsidRDefault="00690BFF" w:rsidP="00E56313">
      <w:r>
        <w:continuationSeparator/>
      </w:r>
    </w:p>
    <w:p w14:paraId="741C8506" w14:textId="77777777" w:rsidR="00690BFF" w:rsidRDefault="00690BFF" w:rsidP="00E56313"/>
    <w:p w14:paraId="05283B82" w14:textId="77777777" w:rsidR="00690BFF" w:rsidRDefault="00690BFF" w:rsidP="00E56313"/>
  </w:endnote>
  <w:endnote w:type="continuationNotice" w:id="1">
    <w:p w14:paraId="008FE28D" w14:textId="77777777" w:rsidR="00690BFF" w:rsidRDefault="00690B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54F3"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2DBCE1" w14:textId="77777777" w:rsidR="00843667" w:rsidRDefault="00843667" w:rsidP="00E56313">
    <w:pPr>
      <w:rPr>
        <w:rStyle w:val="PageNumber"/>
      </w:rPr>
    </w:pPr>
  </w:p>
  <w:p w14:paraId="09B3CBF9" w14:textId="77777777" w:rsidR="00843667" w:rsidRDefault="00843667" w:rsidP="00E56313"/>
  <w:p w14:paraId="51A4C6D4" w14:textId="77777777" w:rsidR="00843667" w:rsidRDefault="00843667" w:rsidP="00E56313"/>
  <w:p w14:paraId="396C95C6"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E1C2" w14:textId="77777777" w:rsidR="00690BFF" w:rsidRDefault="00690BFF" w:rsidP="00E56313">
      <w:r>
        <w:separator/>
      </w:r>
    </w:p>
    <w:p w14:paraId="12A4B53B" w14:textId="77777777" w:rsidR="00690BFF" w:rsidRDefault="00690BFF" w:rsidP="00E56313"/>
    <w:p w14:paraId="53C96589" w14:textId="77777777" w:rsidR="00690BFF" w:rsidRDefault="00690BFF" w:rsidP="00E56313"/>
  </w:footnote>
  <w:footnote w:type="continuationSeparator" w:id="0">
    <w:p w14:paraId="3DD4A26C" w14:textId="77777777" w:rsidR="00690BFF" w:rsidRDefault="00690BFF" w:rsidP="00E56313">
      <w:r>
        <w:continuationSeparator/>
      </w:r>
    </w:p>
    <w:p w14:paraId="2167E493" w14:textId="77777777" w:rsidR="00690BFF" w:rsidRDefault="00690BFF" w:rsidP="00E56313"/>
    <w:p w14:paraId="29B89EFD" w14:textId="77777777" w:rsidR="00690BFF" w:rsidRDefault="00690BFF" w:rsidP="00E56313"/>
  </w:footnote>
  <w:footnote w:type="continuationNotice" w:id="1">
    <w:p w14:paraId="753AC706" w14:textId="77777777" w:rsidR="00690BFF" w:rsidRDefault="00690BF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43B1"/>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13763"/>
    <w:rsid w:val="00120E9E"/>
    <w:rsid w:val="00137C49"/>
    <w:rsid w:val="001745B8"/>
    <w:rsid w:val="001748EF"/>
    <w:rsid w:val="00194343"/>
    <w:rsid w:val="001A7F45"/>
    <w:rsid w:val="001C25E8"/>
    <w:rsid w:val="001C600B"/>
    <w:rsid w:val="001D1E89"/>
    <w:rsid w:val="001D37F7"/>
    <w:rsid w:val="00203883"/>
    <w:rsid w:val="00210DDC"/>
    <w:rsid w:val="00210E6A"/>
    <w:rsid w:val="002275CB"/>
    <w:rsid w:val="002300E7"/>
    <w:rsid w:val="00233F5B"/>
    <w:rsid w:val="00261DB0"/>
    <w:rsid w:val="002841E9"/>
    <w:rsid w:val="00284955"/>
    <w:rsid w:val="00286AE3"/>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366E"/>
    <w:rsid w:val="00353E1E"/>
    <w:rsid w:val="0035735A"/>
    <w:rsid w:val="00362FBA"/>
    <w:rsid w:val="0037064F"/>
    <w:rsid w:val="00385B49"/>
    <w:rsid w:val="00395308"/>
    <w:rsid w:val="003A1138"/>
    <w:rsid w:val="003B5919"/>
    <w:rsid w:val="003D5778"/>
    <w:rsid w:val="003D7499"/>
    <w:rsid w:val="003E5FEE"/>
    <w:rsid w:val="003E7F9F"/>
    <w:rsid w:val="003F4C53"/>
    <w:rsid w:val="0041342C"/>
    <w:rsid w:val="00423809"/>
    <w:rsid w:val="00424007"/>
    <w:rsid w:val="0042727B"/>
    <w:rsid w:val="0042767C"/>
    <w:rsid w:val="00451405"/>
    <w:rsid w:val="00464890"/>
    <w:rsid w:val="00473AB1"/>
    <w:rsid w:val="00485B24"/>
    <w:rsid w:val="004A15DF"/>
    <w:rsid w:val="004A2A4D"/>
    <w:rsid w:val="004A7315"/>
    <w:rsid w:val="004A7EDA"/>
    <w:rsid w:val="004C11A1"/>
    <w:rsid w:val="004D0B04"/>
    <w:rsid w:val="004D273C"/>
    <w:rsid w:val="00506C69"/>
    <w:rsid w:val="0051277C"/>
    <w:rsid w:val="00517406"/>
    <w:rsid w:val="00561580"/>
    <w:rsid w:val="0058543D"/>
    <w:rsid w:val="005A439F"/>
    <w:rsid w:val="005F2F88"/>
    <w:rsid w:val="0061564D"/>
    <w:rsid w:val="0061599A"/>
    <w:rsid w:val="0063431F"/>
    <w:rsid w:val="00635700"/>
    <w:rsid w:val="0065327B"/>
    <w:rsid w:val="0066012B"/>
    <w:rsid w:val="00660A85"/>
    <w:rsid w:val="00665417"/>
    <w:rsid w:val="00671B15"/>
    <w:rsid w:val="00681D94"/>
    <w:rsid w:val="00683453"/>
    <w:rsid w:val="00690BFF"/>
    <w:rsid w:val="00697076"/>
    <w:rsid w:val="006B34CD"/>
    <w:rsid w:val="006B61E2"/>
    <w:rsid w:val="006B625D"/>
    <w:rsid w:val="006C51BE"/>
    <w:rsid w:val="006F595D"/>
    <w:rsid w:val="00701AC3"/>
    <w:rsid w:val="0073019A"/>
    <w:rsid w:val="007370D8"/>
    <w:rsid w:val="007421EA"/>
    <w:rsid w:val="0076290C"/>
    <w:rsid w:val="00763A9B"/>
    <w:rsid w:val="00773C3E"/>
    <w:rsid w:val="00780F3C"/>
    <w:rsid w:val="00783316"/>
    <w:rsid w:val="007B5F39"/>
    <w:rsid w:val="007C02A2"/>
    <w:rsid w:val="007C6255"/>
    <w:rsid w:val="007D0491"/>
    <w:rsid w:val="007E1B64"/>
    <w:rsid w:val="007F66CB"/>
    <w:rsid w:val="00800403"/>
    <w:rsid w:val="008017B4"/>
    <w:rsid w:val="00804FD5"/>
    <w:rsid w:val="0082026D"/>
    <w:rsid w:val="0082401B"/>
    <w:rsid w:val="0082630D"/>
    <w:rsid w:val="00843496"/>
    <w:rsid w:val="00843667"/>
    <w:rsid w:val="008457D8"/>
    <w:rsid w:val="00870866"/>
    <w:rsid w:val="0088390A"/>
    <w:rsid w:val="008A0BE8"/>
    <w:rsid w:val="008C09C2"/>
    <w:rsid w:val="008C7567"/>
    <w:rsid w:val="008D4664"/>
    <w:rsid w:val="008D63F5"/>
    <w:rsid w:val="008E1BD0"/>
    <w:rsid w:val="008E286C"/>
    <w:rsid w:val="008E37CC"/>
    <w:rsid w:val="009005D9"/>
    <w:rsid w:val="00903E61"/>
    <w:rsid w:val="00916CAD"/>
    <w:rsid w:val="009324DF"/>
    <w:rsid w:val="00947441"/>
    <w:rsid w:val="00953ED1"/>
    <w:rsid w:val="009644BA"/>
    <w:rsid w:val="00983D55"/>
    <w:rsid w:val="009840A4"/>
    <w:rsid w:val="00991083"/>
    <w:rsid w:val="0099262A"/>
    <w:rsid w:val="009A4B3D"/>
    <w:rsid w:val="009B1E39"/>
    <w:rsid w:val="009B221C"/>
    <w:rsid w:val="009C6B90"/>
    <w:rsid w:val="009D5C0B"/>
    <w:rsid w:val="009D7457"/>
    <w:rsid w:val="009D76C8"/>
    <w:rsid w:val="009E2779"/>
    <w:rsid w:val="00A0004C"/>
    <w:rsid w:val="00A05DF5"/>
    <w:rsid w:val="00A2008A"/>
    <w:rsid w:val="00A37580"/>
    <w:rsid w:val="00A43AEA"/>
    <w:rsid w:val="00A475C9"/>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77CEB"/>
    <w:rsid w:val="00B9046C"/>
    <w:rsid w:val="00BA2D59"/>
    <w:rsid w:val="00BA6C69"/>
    <w:rsid w:val="00BB20A0"/>
    <w:rsid w:val="00BB376F"/>
    <w:rsid w:val="00BB7A08"/>
    <w:rsid w:val="00BC7431"/>
    <w:rsid w:val="00BE02DE"/>
    <w:rsid w:val="00BE1D1E"/>
    <w:rsid w:val="00BF004A"/>
    <w:rsid w:val="00BF2C1C"/>
    <w:rsid w:val="00BF324B"/>
    <w:rsid w:val="00C06465"/>
    <w:rsid w:val="00C11D7A"/>
    <w:rsid w:val="00C1235C"/>
    <w:rsid w:val="00C14CC7"/>
    <w:rsid w:val="00C221FC"/>
    <w:rsid w:val="00C27B8C"/>
    <w:rsid w:val="00C31C1E"/>
    <w:rsid w:val="00C34B9B"/>
    <w:rsid w:val="00C37927"/>
    <w:rsid w:val="00C43612"/>
    <w:rsid w:val="00C50A27"/>
    <w:rsid w:val="00C56103"/>
    <w:rsid w:val="00C857CB"/>
    <w:rsid w:val="00C86C09"/>
    <w:rsid w:val="00CA7CCD"/>
    <w:rsid w:val="00CB1EF3"/>
    <w:rsid w:val="00CB3948"/>
    <w:rsid w:val="00CB6899"/>
    <w:rsid w:val="00CC13B6"/>
    <w:rsid w:val="00CC627D"/>
    <w:rsid w:val="00CE5AA8"/>
    <w:rsid w:val="00CF5547"/>
    <w:rsid w:val="00D036E4"/>
    <w:rsid w:val="00D22BD4"/>
    <w:rsid w:val="00D36705"/>
    <w:rsid w:val="00D406AA"/>
    <w:rsid w:val="00D50C66"/>
    <w:rsid w:val="00D51604"/>
    <w:rsid w:val="00D53BB5"/>
    <w:rsid w:val="00D54570"/>
    <w:rsid w:val="00D647D1"/>
    <w:rsid w:val="00D81EEB"/>
    <w:rsid w:val="00D90745"/>
    <w:rsid w:val="00D93A0B"/>
    <w:rsid w:val="00D94A1A"/>
    <w:rsid w:val="00DD435A"/>
    <w:rsid w:val="00DD5E27"/>
    <w:rsid w:val="00DD77E3"/>
    <w:rsid w:val="00DE055F"/>
    <w:rsid w:val="00E47681"/>
    <w:rsid w:val="00E547D5"/>
    <w:rsid w:val="00E56313"/>
    <w:rsid w:val="00E67B6B"/>
    <w:rsid w:val="00E720F4"/>
    <w:rsid w:val="00E727FE"/>
    <w:rsid w:val="00EA23BE"/>
    <w:rsid w:val="00EA2E03"/>
    <w:rsid w:val="00EA52AE"/>
    <w:rsid w:val="00EB4F6E"/>
    <w:rsid w:val="00EC2548"/>
    <w:rsid w:val="00EC7FF6"/>
    <w:rsid w:val="00ED270D"/>
    <w:rsid w:val="00F06168"/>
    <w:rsid w:val="00F45551"/>
    <w:rsid w:val="00F55645"/>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8B238"/>
  <w15:chartTrackingRefBased/>
  <w15:docId w15:val="{05F26B79-FFD3-6C4B-8DC2-48B05614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4A7EDA"/>
    <w:pPr>
      <w:autoSpaceDE w:val="0"/>
      <w:autoSpaceDN w:val="0"/>
      <w:adjustRightInd w:val="0"/>
      <w:spacing w:line="288" w:lineRule="auto"/>
      <w:textAlignment w:val="center"/>
    </w:pPr>
    <w:rPr>
      <w:rFonts w:ascii="Times" w:hAnsi="Times" w:cs="Times"/>
      <w:color w:val="000000"/>
      <w:sz w:val="24"/>
      <w:szCs w:val="24"/>
      <w:lang w:val="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61564D"/>
    <w:pPr>
      <w:spacing w:after="0"/>
    </w:pPr>
  </w:style>
  <w:style w:type="paragraph" w:customStyle="1" w:styleId="TableHeading">
    <w:name w:val="Table Heading"/>
    <w:basedOn w:val="Normal"/>
    <w:qFormat/>
    <w:rsid w:val="0061564D"/>
    <w:pPr>
      <w:spacing w:after="0"/>
    </w:pPr>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A37580"/>
    <w:pPr>
      <w:spacing w:before="120" w:after="0"/>
      <w:ind w:left="200"/>
    </w:pPr>
    <w:rPr>
      <w:rFonts w:asciiTheme="minorHAnsi" w:hAnsiTheme="minorHAnsi" w:cstheme="minorHAnsi"/>
      <w:i/>
      <w:iCs/>
      <w:szCs w:val="20"/>
    </w:rPr>
  </w:style>
  <w:style w:type="paragraph" w:styleId="TOC4">
    <w:name w:val="toc 4"/>
    <w:basedOn w:val="Normal"/>
    <w:next w:val="Normal"/>
    <w:autoRedefine/>
    <w:uiPriority w:val="39"/>
    <w:semiHidden/>
    <w:unhideWhenUsed/>
    <w:rsid w:val="0065327B"/>
    <w:pPr>
      <w:spacing w:after="0"/>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65327B"/>
    <w:pPr>
      <w:spacing w:after="0"/>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65327B"/>
    <w:pPr>
      <w:spacing w:after="0"/>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65327B"/>
    <w:pPr>
      <w:spacing w:after="0"/>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65327B"/>
    <w:pPr>
      <w:spacing w:after="0"/>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65327B"/>
    <w:pPr>
      <w:spacing w:after="0"/>
      <w:ind w:left="1600"/>
    </w:pPr>
    <w:rPr>
      <w:rFonts w:asciiTheme="minorHAnsi" w:hAnsiTheme="minorHAnsi" w:cstheme="minorHAnsi"/>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4A7EDA"/>
    <w:rPr>
      <w:rFonts w:ascii="Arial" w:hAnsi="Arial"/>
      <w:i/>
      <w:iCs/>
      <w:color w:val="767171" w:themeColor="background2" w:themeShade="80"/>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Header2-1820ptVicLight02Headers">
    <w:name w:val="H: Header 2 - 18/20pt Vic Light (02. Headers)"/>
    <w:basedOn w:val="NoParagraphStyle"/>
    <w:uiPriority w:val="99"/>
    <w:rsid w:val="004A7EDA"/>
    <w:pPr>
      <w:suppressAutoHyphens/>
      <w:spacing w:before="170" w:after="170" w:line="400" w:lineRule="atLeast"/>
    </w:pPr>
    <w:rPr>
      <w:rFonts w:ascii="VIC Light" w:hAnsi="VIC Light" w:cs="VIC Light"/>
      <w:color w:val="000056"/>
      <w:sz w:val="36"/>
      <w:szCs w:val="36"/>
    </w:rPr>
  </w:style>
  <w:style w:type="paragraph" w:customStyle="1" w:styleId="BBody-912ptVICLight03Body">
    <w:name w:val="B: Body - 9/12pt VIC Light (03. Body)"/>
    <w:basedOn w:val="NoParagraphStyle"/>
    <w:uiPriority w:val="99"/>
    <w:rsid w:val="004A7EDA"/>
    <w:pPr>
      <w:suppressAutoHyphens/>
      <w:spacing w:after="170" w:line="240" w:lineRule="atLeast"/>
    </w:pPr>
    <w:rPr>
      <w:rFonts w:ascii="VIC Light" w:hAnsi="VIC Light" w:cs="VIC Light"/>
      <w:sz w:val="18"/>
      <w:szCs w:val="18"/>
    </w:rPr>
  </w:style>
  <w:style w:type="paragraph" w:customStyle="1" w:styleId="BBodyColonbeforeBullets03Body">
    <w:name w:val="B: Body (Colon before Bullets) (03. Body)"/>
    <w:basedOn w:val="NoParagraphStyle"/>
    <w:uiPriority w:val="99"/>
    <w:rsid w:val="004A7EDA"/>
    <w:pPr>
      <w:suppressAutoHyphens/>
      <w:spacing w:after="57" w:line="240" w:lineRule="atLeast"/>
    </w:pPr>
    <w:rPr>
      <w:rFonts w:ascii="VIC Light" w:hAnsi="VIC Light" w:cs="VIC Light"/>
      <w:sz w:val="18"/>
      <w:szCs w:val="18"/>
    </w:rPr>
  </w:style>
  <w:style w:type="paragraph" w:customStyle="1" w:styleId="BL1Bullets-912VICLight03Body">
    <w:name w:val="B: L1 Bullets - 9/12 VIC Light (03. Body)"/>
    <w:basedOn w:val="NoParagraphStyle"/>
    <w:uiPriority w:val="99"/>
    <w:rsid w:val="004A7EDA"/>
    <w:pPr>
      <w:suppressAutoHyphens/>
      <w:spacing w:after="57" w:line="240" w:lineRule="atLeast"/>
      <w:ind w:left="227" w:hanging="227"/>
    </w:pPr>
    <w:rPr>
      <w:rFonts w:ascii="VIC Light" w:hAnsi="VIC Light" w:cs="VIC Light"/>
      <w:sz w:val="18"/>
      <w:szCs w:val="18"/>
    </w:rPr>
  </w:style>
  <w:style w:type="paragraph" w:customStyle="1" w:styleId="HHeader3-1416ptVICReg02Headers">
    <w:name w:val="H: Header 3 - 14/16pt VIC Reg (02. Headers)"/>
    <w:basedOn w:val="NoParagraphStyle"/>
    <w:uiPriority w:val="99"/>
    <w:rsid w:val="004A7EDA"/>
    <w:pPr>
      <w:suppressAutoHyphens/>
      <w:spacing w:before="170" w:after="57" w:line="320" w:lineRule="atLeast"/>
    </w:pPr>
    <w:rPr>
      <w:rFonts w:ascii="VIC" w:hAnsi="VIC" w:cs="VIC"/>
      <w:color w:val="000056"/>
      <w:sz w:val="28"/>
      <w:szCs w:val="28"/>
    </w:rPr>
  </w:style>
  <w:style w:type="paragraph" w:customStyle="1" w:styleId="HHeader4-1214VICReg02Headers">
    <w:name w:val="H: Header 4 - 12/14 VIC Reg (02. Headers)"/>
    <w:basedOn w:val="NoParagraphStyle"/>
    <w:next w:val="NoParagraphStyle"/>
    <w:uiPriority w:val="99"/>
    <w:rsid w:val="004A7EDA"/>
    <w:pPr>
      <w:suppressAutoHyphens/>
      <w:spacing w:before="170" w:after="57" w:line="280" w:lineRule="atLeast"/>
    </w:pPr>
    <w:rPr>
      <w:rFonts w:ascii="VIC" w:hAnsi="VIC" w:cs="VIC"/>
      <w:color w:val="000056"/>
    </w:rPr>
  </w:style>
  <w:style w:type="paragraph" w:customStyle="1" w:styleId="HHeader5-1012VICReg02Headers">
    <w:name w:val="H: Header 5 - 10/12 VIC Reg (02. Headers)"/>
    <w:basedOn w:val="NoParagraphStyle"/>
    <w:next w:val="NoParagraphStyle"/>
    <w:uiPriority w:val="99"/>
    <w:rsid w:val="004A7EDA"/>
    <w:pPr>
      <w:keepLines/>
      <w:suppressAutoHyphens/>
      <w:spacing w:before="170" w:after="57" w:line="240" w:lineRule="atLeast"/>
    </w:pPr>
    <w:rPr>
      <w:rFonts w:ascii="VIC" w:hAnsi="VIC" w:cs="VIC"/>
      <w:color w:val="000056"/>
      <w:sz w:val="20"/>
      <w:szCs w:val="20"/>
    </w:rPr>
  </w:style>
  <w:style w:type="paragraph" w:customStyle="1" w:styleId="Tspace23Light91204Table">
    <w:name w:val="T: space 2/3 (Light 9/12) (04. Table)"/>
    <w:basedOn w:val="NoParagraphStyle"/>
    <w:uiPriority w:val="99"/>
    <w:rsid w:val="004A7EDA"/>
    <w:pPr>
      <w:suppressAutoHyphens/>
      <w:spacing w:before="113" w:after="170" w:line="240" w:lineRule="atLeast"/>
    </w:pPr>
    <w:rPr>
      <w:rFonts w:ascii="VIC Light" w:hAnsi="VIC Light" w:cs="VIC Light"/>
      <w:sz w:val="18"/>
      <w:szCs w:val="18"/>
    </w:rPr>
  </w:style>
  <w:style w:type="paragraph" w:customStyle="1" w:styleId="BL2Bullets-912VICLight03Body">
    <w:name w:val="B: L2 Bullets - 9/12 VIC Light (03. Body)"/>
    <w:basedOn w:val="BL1Bullets-912VICLight03Body"/>
    <w:uiPriority w:val="99"/>
    <w:rsid w:val="004A7EDA"/>
    <w:pPr>
      <w:ind w:left="454"/>
    </w:pPr>
  </w:style>
  <w:style w:type="paragraph" w:customStyle="1" w:styleId="BL2BulletsLast-912VICLight03Body">
    <w:name w:val="B: L2 Bullets Last - 9/12 VIC Light (03. Body)"/>
    <w:basedOn w:val="BL2Bullets-912VICLight03Body"/>
    <w:uiPriority w:val="99"/>
    <w:rsid w:val="004A7EDA"/>
    <w:pPr>
      <w:spacing w:after="113"/>
    </w:pPr>
  </w:style>
  <w:style w:type="paragraph" w:customStyle="1" w:styleId="BL1BulletsLast-912VICLight03Body">
    <w:name w:val="B: L1 Bullets Last - 9/12 VIC Light (03. Body)"/>
    <w:basedOn w:val="BL1Bullets-912VICLight03Body"/>
    <w:uiPriority w:val="99"/>
    <w:rsid w:val="004A7EDA"/>
    <w:pPr>
      <w:spacing w:after="170"/>
    </w:pPr>
  </w:style>
  <w:style w:type="paragraph" w:customStyle="1" w:styleId="TNotesNormalSpaceAfter204Table">
    <w:name w:val="T: Notes – Normal Space After 2 (04. Table)"/>
    <w:basedOn w:val="NoParagraphStyle"/>
    <w:uiPriority w:val="99"/>
    <w:rsid w:val="004A7EDA"/>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 Light Italic" w:hAnsi="VIC Light Italic" w:cs="VIC Light Italic"/>
      <w:i/>
      <w:iCs/>
      <w:sz w:val="14"/>
      <w:szCs w:val="14"/>
    </w:rPr>
  </w:style>
  <w:style w:type="paragraph" w:customStyle="1" w:styleId="TBodycopy04Table">
    <w:name w:val="T: Body copy (04. Table)"/>
    <w:basedOn w:val="NoParagraphStyle"/>
    <w:uiPriority w:val="99"/>
    <w:rsid w:val="004A7EDA"/>
    <w:pPr>
      <w:suppressAutoHyphens/>
      <w:spacing w:after="113" w:line="220" w:lineRule="atLeast"/>
    </w:pPr>
    <w:rPr>
      <w:rFonts w:ascii="VIC Light" w:hAnsi="VIC Light" w:cs="VIC Light"/>
      <w:sz w:val="16"/>
      <w:szCs w:val="16"/>
    </w:rPr>
  </w:style>
  <w:style w:type="paragraph" w:customStyle="1" w:styleId="TColumnHeaderMedium04Table">
    <w:name w:val="T: Column Header Medium (04. Table)"/>
    <w:basedOn w:val="TBodycopy04Table"/>
    <w:uiPriority w:val="99"/>
    <w:rsid w:val="004A7EDA"/>
    <w:pPr>
      <w:jc w:val="right"/>
    </w:pPr>
    <w:rPr>
      <w:rFonts w:ascii="VIC Medium" w:hAnsi="VIC Medium" w:cs="VIC Medium"/>
    </w:rPr>
  </w:style>
  <w:style w:type="paragraph" w:customStyle="1" w:styleId="TbodyboldtotalGrey04Table">
    <w:name w:val="T: body bold (total) Grey (04. Table)"/>
    <w:basedOn w:val="TBodycopy04Table"/>
    <w:uiPriority w:val="99"/>
    <w:rsid w:val="004A7EDA"/>
    <w:rPr>
      <w:rFonts w:ascii="VIC Medium" w:hAnsi="VIC Medium" w:cs="VIC Medium"/>
    </w:rPr>
  </w:style>
  <w:style w:type="paragraph" w:customStyle="1" w:styleId="TcolumnHeadertopcentred04Table">
    <w:name w:val="T: column Header top centred (04. Table)"/>
    <w:basedOn w:val="TColumnHeaderMedium04Table"/>
    <w:uiPriority w:val="99"/>
    <w:rsid w:val="004A7EDA"/>
    <w:pPr>
      <w:jc w:val="center"/>
    </w:pPr>
  </w:style>
  <w:style w:type="character" w:customStyle="1" w:styleId="BItalicsBody">
    <w:name w:val="B: Italics (Body)"/>
    <w:uiPriority w:val="99"/>
    <w:rsid w:val="004A7EDA"/>
    <w:rPr>
      <w:rFonts w:ascii="VIC Light Italic" w:hAnsi="VIC Light Italic" w:cs="VIC Light Italic"/>
      <w:i/>
      <w:iCs/>
    </w:rPr>
  </w:style>
  <w:style w:type="character" w:customStyle="1" w:styleId="TBCMedium-BlueTable">
    <w:name w:val="T: BC Medium - Blue (Table)"/>
    <w:uiPriority w:val="99"/>
    <w:rsid w:val="004A7EDA"/>
    <w:rPr>
      <w:color w:val="000056"/>
    </w:rPr>
  </w:style>
  <w:style w:type="character" w:customStyle="1" w:styleId="TWingdingsTickTable">
    <w:name w:val="T: Wingdings – Tick (Table)"/>
    <w:uiPriority w:val="99"/>
    <w:rsid w:val="004A7EDA"/>
    <w:rPr>
      <w:rFonts w:ascii="Wingdings" w:hAnsi="Wingdings" w:cs="Wingdings"/>
      <w:position w:val="-2"/>
      <w:sz w:val="16"/>
      <w:szCs w:val="16"/>
    </w:rPr>
  </w:style>
  <w:style w:type="character" w:customStyle="1" w:styleId="TWingdingsSqaureTable">
    <w:name w:val="T: Wingdings – Sqaure (Table)"/>
    <w:uiPriority w:val="99"/>
    <w:rsid w:val="004A7EDA"/>
    <w:rPr>
      <w:rFonts w:ascii="Wingdings" w:hAnsi="Wingdings" w:cs="Wingdings"/>
      <w:position w:val="-2"/>
      <w:sz w:val="16"/>
      <w:szCs w:val="16"/>
    </w:rPr>
  </w:style>
  <w:style w:type="character" w:customStyle="1" w:styleId="TBCMediumGreyTable">
    <w:name w:val="T: BC Medium – Grey (Table)"/>
    <w:uiPriority w:val="99"/>
    <w:rsid w:val="004A7EDA"/>
  </w:style>
  <w:style w:type="character" w:customStyle="1" w:styleId="TWingdingsCircleTable">
    <w:name w:val="T: Wingdings – Circle (Table)"/>
    <w:uiPriority w:val="99"/>
    <w:rsid w:val="004A7EDA"/>
    <w:rPr>
      <w:rFonts w:ascii="Wingdings" w:hAnsi="Wingdings" w:cs="Wingdings"/>
      <w:position w:val="-2"/>
      <w:sz w:val="14"/>
      <w:szCs w:val="14"/>
    </w:rPr>
  </w:style>
  <w:style w:type="character" w:customStyle="1" w:styleId="TBCMediumTable">
    <w:name w:val="T: BC Medium (Table)"/>
    <w:uiPriority w:val="99"/>
    <w:rsid w:val="004A7EDA"/>
    <w:rPr>
      <w:rFonts w:ascii="VIC Medium" w:hAnsi="VIC Medium" w:cs="VIC Medium"/>
      <w:color w:val="000000"/>
    </w:rPr>
  </w:style>
  <w:style w:type="character" w:customStyle="1" w:styleId="BMediumBody">
    <w:name w:val="B: Medium (Body)"/>
    <w:uiPriority w:val="99"/>
    <w:rsid w:val="004A7EDA"/>
    <w:rPr>
      <w:rFonts w:ascii="VIC Medium" w:hAnsi="VIC Medium" w:cs="VIC Medium"/>
      <w:color w:val="000000"/>
    </w:rPr>
  </w:style>
  <w:style w:type="character" w:styleId="UnresolvedMention">
    <w:name w:val="Unresolved Mention"/>
    <w:basedOn w:val="DefaultParagraphFont"/>
    <w:uiPriority w:val="47"/>
    <w:rsid w:val="004A7EDA"/>
    <w:rPr>
      <w:color w:val="605E5C"/>
      <w:shd w:val="clear" w:color="auto" w:fill="E1DFDD"/>
    </w:rPr>
  </w:style>
  <w:style w:type="paragraph" w:styleId="TOCHeading">
    <w:name w:val="TOC Heading"/>
    <w:basedOn w:val="Heading1"/>
    <w:next w:val="Normal"/>
    <w:uiPriority w:val="39"/>
    <w:unhideWhenUsed/>
    <w:qFormat/>
    <w:rsid w:val="00B9046C"/>
    <w:pPr>
      <w:spacing w:after="0" w:line="276" w:lineRule="auto"/>
      <w:outlineLvl w:val="9"/>
    </w:pPr>
    <w:rPr>
      <w:rFonts w:asciiTheme="majorHAnsi" w:eastAsiaTheme="majorEastAsia" w:hAnsiTheme="majorHAnsi" w:cstheme="majorBidi"/>
      <w:color w:val="2F5496" w:themeColor="accent1" w:themeShade="BF"/>
      <w:spacing w:val="0"/>
      <w:sz w:val="28"/>
      <w:szCs w:val="28"/>
    </w:rPr>
  </w:style>
  <w:style w:type="paragraph" w:styleId="TOC3">
    <w:name w:val="toc 3"/>
    <w:basedOn w:val="Normal"/>
    <w:next w:val="Normal"/>
    <w:autoRedefine/>
    <w:uiPriority w:val="39"/>
    <w:unhideWhenUsed/>
    <w:rsid w:val="00B9046C"/>
    <w:pPr>
      <w:spacing w:after="0"/>
      <w:ind w:left="400"/>
    </w:pPr>
    <w:rPr>
      <w:rFonts w:asciiTheme="minorHAnsi" w:hAnsiTheme="minorHAnsi" w:cstheme="minorHAnsi"/>
      <w:szCs w:val="20"/>
    </w:rPr>
  </w:style>
  <w:style w:type="paragraph" w:customStyle="1" w:styleId="Tablenotes">
    <w:name w:val="Table notes"/>
    <w:basedOn w:val="Normal"/>
    <w:qFormat/>
    <w:rsid w:val="000143B1"/>
    <w:pPr>
      <w:spacing w:after="0"/>
    </w:pPr>
    <w:rPr>
      <w:i/>
      <w:iCs/>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hyperlink" Target="http://www.knowyourcouncil.vic.gov.au" TargetMode="External"/><Relationship Id="rId34" Type="http://schemas.openxmlformats.org/officeDocument/2006/relationships/image" Target="media/image23.png"/><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98caef77-545b-4d4b-96ac-f88472b9d9b5">true</Reviewed>
    <_Flow_SignoffStatus xmlns="98caef77-545b-4d4b-96ac-f88472b9d9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9A2E9D89755488B54E51C8AC2DA7E" ma:contentTypeVersion="16" ma:contentTypeDescription="Create a new document." ma:contentTypeScope="" ma:versionID="60796bf79817944865f37e5e51beecc6">
  <xsd:schema xmlns:xsd="http://www.w3.org/2001/XMLSchema" xmlns:xs="http://www.w3.org/2001/XMLSchema" xmlns:p="http://schemas.microsoft.com/office/2006/metadata/properties" xmlns:ns2="98caef77-545b-4d4b-96ac-f88472b9d9b5" xmlns:ns3="62f59a1f-816a-4bca-bfc0-c901c4a1cb3d" targetNamespace="http://schemas.microsoft.com/office/2006/metadata/properties" ma:root="true" ma:fieldsID="a67ded8ca31b61caa881a46d180abc1b" ns2:_="" ns3:_="">
    <xsd:import namespace="98caef77-545b-4d4b-96ac-f88472b9d9b5"/>
    <xsd:import namespace="62f59a1f-816a-4bca-bfc0-c901c4a1cb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Reviewed"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ef77-545b-4d4b-96ac-f88472b9d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viewed" ma:index="14" nillable="true" ma:displayName="Reviewed" ma:default="1" ma:internalName="Reviewed">
      <xsd:simpleType>
        <xsd:restriction base="dms:Boolean"/>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59a1f-816a-4bca-bfc0-c901c4a1cb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7B34-02A5-45A2-9996-EB8D9A4CE71A}">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2.xml><?xml version="1.0" encoding="utf-8"?>
<ds:datastoreItem xmlns:ds="http://schemas.openxmlformats.org/officeDocument/2006/customXml" ds:itemID="{FEC5D75E-C28E-479B-93E3-ACAF6349264D}"/>
</file>

<file path=customXml/itemProps3.xml><?xml version="1.0" encoding="utf-8"?>
<ds:datastoreItem xmlns:ds="http://schemas.openxmlformats.org/officeDocument/2006/customXml" ds:itemID="{1C38BA9A-D824-4FCA-AEE8-8FD381138B26}">
  <ds:schemaRefs>
    <ds:schemaRef ds:uri="http://schemas.microsoft.com/sharepoint/v3/contenttype/forms"/>
  </ds:schemaRefs>
</ds:datastoreItem>
</file>

<file path=customXml/itemProps4.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18678</Words>
  <Characters>106469</Characters>
  <Application>Microsoft Office Word</Application>
  <DocSecurity>4</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James E North (DJPR)</cp:lastModifiedBy>
  <cp:revision>2</cp:revision>
  <dcterms:created xsi:type="dcterms:W3CDTF">2021-11-15T09:12:00Z</dcterms:created>
  <dcterms:modified xsi:type="dcterms:W3CDTF">2021-11-15T09:12:00Z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0x010100EE89A2E9D89755488B54E51C8AC2DA7E</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